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43A0" w:rsidTr="00E443A0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F1CE" wp14:editId="48295B08">
                      <wp:simplePos x="0" y="0"/>
                      <wp:positionH relativeFrom="page">
                        <wp:posOffset>33655</wp:posOffset>
                      </wp:positionH>
                      <wp:positionV relativeFrom="page">
                        <wp:posOffset>1569085</wp:posOffset>
                      </wp:positionV>
                      <wp:extent cx="6789420" cy="1402715"/>
                      <wp:effectExtent l="0" t="0" r="11430" b="26035"/>
                      <wp:wrapNone/>
                      <wp:docPr id="1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9420" cy="140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12701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 Black" w:hAnsi="Arial Black"/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PLAN GRADNJE I ODRŽAVANJA </w:t>
                                  </w: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ŽUPANIJSKIH I LOKALNIH CESTA </w:t>
                                  </w: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>ZA 2022.G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hr-HR"/>
                                    </w:rPr>
                                    <w:t>.</w:t>
                                  </w: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7B1B48" w:rsidRDefault="007B1B48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82880" tIns="45720" rIns="18288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.65pt;margin-top:123.5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" fillcolor="#fc9" strokecolor="white" strokeweight=".35281mm">
                      <v:textbox inset="14.4pt,,14.4pt">
                        <w:txbxContent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PLAN GRADNJE I ODRŽAVANJA </w:t>
                            </w: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2022.G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7B1B48" w:rsidRDefault="007B1B48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64BD2A" wp14:editId="00B9C017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43A0" w:rsidRDefault="00E443A0" w:rsidP="00E443A0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43A0" w:rsidRDefault="00E443A0" w:rsidP="00E443A0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43A0" w:rsidRDefault="00E443A0" w:rsidP="00E443A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8A97F" wp14:editId="6F3B5EA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341606"/>
                <wp:effectExtent l="0" t="0" r="0" b="2544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341606"/>
                          <a:chOff x="0" y="0"/>
                          <a:chExt cx="3108959" cy="10341606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1B48" w:rsidRDefault="007B1B48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7B1B48" w:rsidRDefault="007B1B48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7B1B48" w:rsidRDefault="007B1B48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7B1B48" w:rsidRDefault="007B1B48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7B1B48" w:rsidRDefault="007B1B48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7508238"/>
                            <a:ext cx="3095033" cy="28333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1B48" w:rsidRPr="00265426" w:rsidRDefault="007B1B48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400-02/2</w:t>
                              </w:r>
                              <w:r w:rsidR="00265426"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1</w:t>
                              </w:r>
                              <w:r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-01/</w:t>
                              </w:r>
                              <w:r w:rsidR="00265426"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03</w:t>
                              </w:r>
                            </w:p>
                            <w:p w:rsidR="007B1B48" w:rsidRPr="00265426" w:rsidRDefault="007B1B48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2188/1-06-02/1-2</w:t>
                              </w:r>
                              <w:r w:rsidR="00265426"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1</w:t>
                              </w:r>
                              <w:r w:rsidRP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-1</w:t>
                              </w:r>
                            </w:p>
                            <w:p w:rsidR="007B1B48" w:rsidRDefault="007B1B48" w:rsidP="00E443A0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7B1B48" w:rsidRDefault="007B1B48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7B1B48" w:rsidRDefault="007B1B48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 xml:space="preserve">Željko Galić,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dipl.oec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.</w:t>
                              </w:r>
                            </w:p>
                            <w:p w:rsidR="007B1B48" w:rsidRDefault="007B1B48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7B1B48" w:rsidRDefault="007B1B48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 xml:space="preserve">Vinkovci, </w:t>
                              </w:r>
                              <w:r w:rsid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 xml:space="preserve">studeni 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202</w:t>
                              </w:r>
                              <w:r w:rsidR="00265426">
                                <w:rPr>
                                  <w:rFonts w:ascii="Arial" w:hAnsi="Arial" w:cs="Arial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193.6pt;margin-top:0;width:244.8pt;height:814.3pt;z-index:251659264;mso-position-horizontal:right;mso-position-horizontal-relative:page;mso-position-vertical:top;mso-position-vertical-relative:page;mso-width-relative:margin;mso-height-relative:margin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">
                <v:group id="Group 364" o:spid="_x0000_s1028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9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30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1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7B1B48" w:rsidRDefault="007B1B48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7B1B48" w:rsidRDefault="007B1B48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7B1B48" w:rsidRDefault="007B1B48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7B1B48" w:rsidRDefault="007B1B48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7B1B48" w:rsidRDefault="007B1B48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7B1B48" w:rsidRPr="00265426" w:rsidRDefault="007B1B48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265426">
                          <w:rPr>
                            <w:rFonts w:ascii="Arial" w:hAnsi="Arial" w:cs="Arial"/>
                            <w:lang w:val="hr-HR"/>
                          </w:rPr>
                          <w:t>KLASA: 400-02/2</w:t>
                        </w:r>
                        <w:r w:rsidR="00265426" w:rsidRPr="00265426">
                          <w:rPr>
                            <w:rFonts w:ascii="Arial" w:hAnsi="Arial" w:cs="Arial"/>
                            <w:lang w:val="hr-HR"/>
                          </w:rPr>
                          <w:t>1</w:t>
                        </w:r>
                        <w:r w:rsidRPr="00265426">
                          <w:rPr>
                            <w:rFonts w:ascii="Arial" w:hAnsi="Arial" w:cs="Arial"/>
                            <w:lang w:val="hr-HR"/>
                          </w:rPr>
                          <w:t>-01/</w:t>
                        </w:r>
                        <w:r w:rsidR="00265426" w:rsidRPr="00265426">
                          <w:rPr>
                            <w:rFonts w:ascii="Arial" w:hAnsi="Arial" w:cs="Arial"/>
                            <w:lang w:val="hr-HR"/>
                          </w:rPr>
                          <w:t>03</w:t>
                        </w:r>
                      </w:p>
                      <w:p w:rsidR="007B1B48" w:rsidRPr="00265426" w:rsidRDefault="007B1B48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265426">
                          <w:rPr>
                            <w:rFonts w:ascii="Arial" w:hAnsi="Arial" w:cs="Arial"/>
                            <w:lang w:val="hr-HR"/>
                          </w:rPr>
                          <w:t>URBROJ: 2188/1-06-02/1-2</w:t>
                        </w:r>
                        <w:r w:rsidR="00265426" w:rsidRPr="00265426">
                          <w:rPr>
                            <w:rFonts w:ascii="Arial" w:hAnsi="Arial" w:cs="Arial"/>
                            <w:lang w:val="hr-HR"/>
                          </w:rPr>
                          <w:t>1</w:t>
                        </w:r>
                        <w:r w:rsidRPr="00265426">
                          <w:rPr>
                            <w:rFonts w:ascii="Arial" w:hAnsi="Arial" w:cs="Arial"/>
                            <w:lang w:val="hr-HR"/>
                          </w:rPr>
                          <w:t>-1</w:t>
                        </w:r>
                      </w:p>
                      <w:p w:rsidR="007B1B48" w:rsidRDefault="007B1B48" w:rsidP="00E443A0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7B1B48" w:rsidRDefault="007B1B48" w:rsidP="00E443A0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7B1B48" w:rsidRDefault="007B1B48" w:rsidP="00E443A0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 xml:space="preserve">Željko Galić,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dipl.oec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.</w:t>
                        </w:r>
                      </w:p>
                      <w:p w:rsidR="007B1B48" w:rsidRDefault="007B1B48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7B1B48" w:rsidRDefault="007B1B48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 xml:space="preserve">Vinkovci, </w:t>
                        </w:r>
                        <w:r w:rsidR="00265426">
                          <w:rPr>
                            <w:rFonts w:ascii="Arial" w:hAnsi="Arial" w:cs="Arial"/>
                            <w:lang w:val="hr-HR"/>
                          </w:rPr>
                          <w:t xml:space="preserve">studeni 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202</w:t>
                        </w:r>
                        <w:r w:rsidR="00265426">
                          <w:rPr>
                            <w:rFonts w:ascii="Arial" w:hAnsi="Arial" w:cs="Arial"/>
                            <w:lang w:val="hr-HR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443A0" w:rsidRDefault="00E443A0" w:rsidP="00E443A0">
      <w:pPr>
        <w:spacing w:after="200" w:line="276" w:lineRule="auto"/>
      </w:pPr>
    </w:p>
    <w:p w:rsidR="00E443A0" w:rsidRDefault="00E443A0" w:rsidP="00E443A0"/>
    <w:p w:rsidR="00E443A0" w:rsidRDefault="00E443A0" w:rsidP="00E443A0"/>
    <w:p w:rsidR="00E443A0" w:rsidRDefault="00E443A0" w:rsidP="00E443A0">
      <w:pPr>
        <w:jc w:val="center"/>
      </w:pPr>
    </w:p>
    <w:p w:rsidR="00E443A0" w:rsidRDefault="00E443A0" w:rsidP="00E443A0">
      <w:r>
        <w:t xml:space="preserve">           </w:t>
      </w:r>
    </w:p>
    <w:p w:rsidR="00E443A0" w:rsidRDefault="00E443A0" w:rsidP="00E443A0"/>
    <w:p w:rsidR="00E443A0" w:rsidRDefault="00E443A0" w:rsidP="00E443A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8796C" wp14:editId="7F26E86A">
            <wp:simplePos x="0" y="0"/>
            <wp:positionH relativeFrom="column">
              <wp:posOffset>194945</wp:posOffset>
            </wp:positionH>
            <wp:positionV relativeFrom="paragraph">
              <wp:posOffset>80645</wp:posOffset>
            </wp:positionV>
            <wp:extent cx="4760595" cy="4495800"/>
            <wp:effectExtent l="0" t="0" r="1905" b="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4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</w:p>
    <w:p w:rsidR="00E443A0" w:rsidRDefault="00E443A0" w:rsidP="00E443A0">
      <w:pPr>
        <w:pStyle w:val="Naslov3"/>
        <w:rPr>
          <w:lang w:val="hr-HR"/>
        </w:rPr>
      </w:pP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PODACI O STANJU ŽUPANIJSKIH I LOKALNIH CESTA NA PODRUČJU VUKOVARSKO –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6. 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</w:tbl>
    <w:p w:rsidR="00E443A0" w:rsidRDefault="00E443A0" w:rsidP="00E443A0">
      <w:r>
        <w:br w:type="textWrapping" w:clear="all"/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UVOD</w:t>
      </w:r>
    </w:p>
    <w:p w:rsidR="00E443A0" w:rsidRDefault="00E443A0" w:rsidP="00E443A0"/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Predmet poslovanja Uprave za ceste Vukovarsko - srijemske županije je upravljanje, građenje, održavanje i rekonstrukcija javnih cesta (županijskih i lokalnih) na području županije, a sve u svrhu ostvarenja sigurnog prometa, poboljšanja kvalitete života na području djelovanja i uspješnog razvoja županije.</w:t>
      </w:r>
    </w:p>
    <w:p w:rsidR="00E443A0" w:rsidRDefault="00E443A0" w:rsidP="00E443A0">
      <w:pPr>
        <w:autoSpaceDE w:val="0"/>
        <w:ind w:firstLine="36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Kako bi prometna infrastruktura u Vukovarsko - srijemskoj županiji bila u funkciji gospodarskog razvoja i ostalih potreba društva ovog područja, Uprava za ceste Vukovarsko - srijemske županije pomno utvrđuje prioritete kroz strateško planiranje, pa slijedom toga i kroz operativno planiranje.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</w:pPr>
      <w:r>
        <w:rPr>
          <w:rFonts w:ascii="TimesNewRomanPSMT" w:eastAsia="Constantia" w:hAnsi="TimesNewRomanPSMT" w:cs="TimesNewRomanPSMT"/>
          <w:lang w:eastAsia="en-US"/>
        </w:rPr>
        <w:t>Operativno</w:t>
      </w:r>
      <w:r>
        <w:t xml:space="preserve"> p</w:t>
      </w:r>
      <w:r>
        <w:rPr>
          <w:rFonts w:ascii="TimesNewRomanPSMT" w:eastAsia="Constantia" w:hAnsi="TimesNewRomanPSMT" w:cs="TimesNewRomanPSMT"/>
          <w:lang w:eastAsia="en-US"/>
        </w:rPr>
        <w:t>laniranje izgradnje i održavanja javnih cesta</w:t>
      </w:r>
      <w:r>
        <w:t xml:space="preserve"> </w:t>
      </w:r>
      <w:r>
        <w:rPr>
          <w:rFonts w:ascii="TimesNewRomanPSMT" w:eastAsia="Constantia" w:hAnsi="TimesNewRomanPSMT" w:cs="TimesNewRomanPSMT"/>
          <w:lang w:eastAsia="en-US"/>
        </w:rPr>
        <w:t>provodi se kroz godišnje planove građenja i održavanja koji Uprava za ceste Vukovarsko – srijemske županije donosi uz suglasnost Ministarstva mora, prometa i infrastrukture i mišljenja Skupštine Vukovarsko – srijemske županije.</w:t>
      </w:r>
    </w:p>
    <w:p w:rsidR="00E443A0" w:rsidRDefault="00E443A0" w:rsidP="00E443A0">
      <w:pPr>
        <w:ind w:firstLine="360"/>
        <w:jc w:val="both"/>
      </w:pPr>
    </w:p>
    <w:p w:rsidR="00E443A0" w:rsidRDefault="00E443A0" w:rsidP="00E443A0">
      <w:pPr>
        <w:jc w:val="both"/>
      </w:pPr>
      <w:r>
        <w:t>Plan gradnje i održavanja županijskih  i lokalnih cesta za 202</w:t>
      </w:r>
      <w:r w:rsidR="0012546B">
        <w:t>2</w:t>
      </w:r>
      <w:r>
        <w:t>. godinu, Uprava za ceste Vukovarsko-srijemske županije donosi na osnovi članka 22. Zakona o cestama.</w:t>
      </w:r>
    </w:p>
    <w:p w:rsidR="00E443A0" w:rsidRDefault="00E443A0" w:rsidP="00E443A0">
      <w:pPr>
        <w:jc w:val="both"/>
      </w:pPr>
      <w:r w:rsidRPr="005F220F">
        <w:t>Plan</w:t>
      </w:r>
      <w:r>
        <w:t>om g</w:t>
      </w:r>
      <w:r w:rsidRPr="005F220F">
        <w:t>radnje i održavanja županijskih  i lokalnih cesta</w:t>
      </w:r>
      <w:r>
        <w:t xml:space="preserve"> ostvaruje se Program građenja i održavanja javnih cesta, koji donosi Vlada za razdoblje od četiri godine, sukladno Strategiji </w:t>
      </w:r>
      <w:r w:rsidRPr="00F840AE">
        <w:t xml:space="preserve"> </w:t>
      </w:r>
      <w:r w:rsidRPr="00D91482">
        <w:t>prometnog razvoja Republike Hrvatske, koju donosi Hrvatski sabor</w:t>
      </w:r>
      <w:r>
        <w:t>. O</w:t>
      </w:r>
      <w:r w:rsidRPr="00F840AE">
        <w:t>dređujući čimben</w:t>
      </w:r>
      <w:r>
        <w:t>i</w:t>
      </w:r>
      <w:r w:rsidRPr="00F840AE">
        <w:t>k za izradu Plana je stanje kolničke konstrukcije županijskih i lokalnih cesta na području  V</w:t>
      </w:r>
      <w:r>
        <w:t xml:space="preserve">ukovarsko-srijemske županije. </w:t>
      </w:r>
    </w:p>
    <w:p w:rsidR="00E443A0" w:rsidRDefault="00E443A0" w:rsidP="00E443A0">
      <w:pPr>
        <w:ind w:left="360" w:firstLine="348"/>
      </w:pPr>
    </w:p>
    <w:p w:rsidR="00E443A0" w:rsidRDefault="00E443A0" w:rsidP="00E443A0">
      <w:r>
        <w:t>Plan se temelji na sljedećim propisima i dokumentima:</w:t>
      </w:r>
    </w:p>
    <w:p w:rsidR="00E443A0" w:rsidRDefault="00E443A0" w:rsidP="00E443A0">
      <w:pPr>
        <w:numPr>
          <w:ilvl w:val="0"/>
          <w:numId w:val="5"/>
        </w:numPr>
      </w:pPr>
      <w:r>
        <w:t>Zakon o  cestama,</w:t>
      </w:r>
    </w:p>
    <w:p w:rsidR="00E443A0" w:rsidRDefault="00E443A0" w:rsidP="00E443A0">
      <w:pPr>
        <w:numPr>
          <w:ilvl w:val="0"/>
          <w:numId w:val="4"/>
        </w:numPr>
        <w:ind w:left="0" w:firstLine="426"/>
      </w:pPr>
      <w:r>
        <w:t>Odluka o razvrstavanju javnih cesta u državne ceste, županijske i lokalne ceste,</w:t>
      </w:r>
    </w:p>
    <w:p w:rsidR="00E443A0" w:rsidRDefault="00E443A0" w:rsidP="00E443A0">
      <w:pPr>
        <w:numPr>
          <w:ilvl w:val="0"/>
          <w:numId w:val="7"/>
        </w:numPr>
      </w:pPr>
      <w:r>
        <w:t>Pravilnik o održavanju cesta.</w:t>
      </w:r>
    </w:p>
    <w:p w:rsidR="00E443A0" w:rsidRDefault="00E443A0" w:rsidP="00E443A0">
      <w:pPr>
        <w:ind w:left="360"/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Financiranje građenja i održavanja javnih cesta utvrđeno je Zakonom o cestama, prema kojem su osnovni izvori sredstava naknada za ceste koja se plaća kod registracije motornih vozila, te druge naknade vezane za korištenje županijskih i lokalnih cesta.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Kroz prošlogodišnje programe gradnje, rekonstrukcije i sanacije najkritičnijih dionica i objekata na području Vukovarsko - srijemske županije, podignuta je razina kvalitete cestovne mreže za potrebe suvremenog cestovnog prometa. 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Uvažavajući učinjeno, potrebno je naglasiti postojanje dionica koje zahtijevaju poboljšanje postojećeg stanja, ali njihova provedba uvjetovana je raspoloživim financijskim sredstvima. 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Pr="00886C59" w:rsidRDefault="00E443A0" w:rsidP="00E443A0">
      <w:pPr>
        <w:tabs>
          <w:tab w:val="left" w:pos="1800"/>
        </w:tabs>
        <w:ind w:left="142"/>
        <w:rPr>
          <w:b/>
          <w:bCs/>
        </w:rPr>
      </w:pPr>
      <w:r w:rsidRPr="00886C59">
        <w:rPr>
          <w:b/>
          <w:bCs/>
        </w:rPr>
        <w:lastRenderedPageBreak/>
        <w:t xml:space="preserve">2. PODACI O STANJU ŽUPANIJSKIH I LOKALNIH CESTA NA </w:t>
      </w:r>
    </w:p>
    <w:p w:rsidR="00E443A0" w:rsidRPr="00886C59" w:rsidRDefault="00E443A0" w:rsidP="00E443A0">
      <w:pPr>
        <w:pStyle w:val="Naslov2"/>
        <w:ind w:left="0"/>
        <w:rPr>
          <w:lang w:val="hr-HR"/>
        </w:rPr>
      </w:pPr>
      <w:r w:rsidRPr="00886C59">
        <w:rPr>
          <w:lang w:val="hr-HR"/>
        </w:rPr>
        <w:t xml:space="preserve">      PODRUČJU VUKOVARSKO-SRIJEMSKE ŽUPANIJE   </w:t>
      </w:r>
    </w:p>
    <w:p w:rsidR="00E443A0" w:rsidRDefault="00E443A0" w:rsidP="00E443A0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E443A0" w:rsidRDefault="00E443A0" w:rsidP="00E443A0">
      <w:pPr>
        <w:rPr>
          <w:b/>
        </w:rPr>
      </w:pPr>
      <w:r>
        <w:rPr>
          <w:b/>
        </w:rPr>
        <w:tab/>
        <w:t>2.1. Popis županijskih i lokalnih cesta</w:t>
      </w:r>
    </w:p>
    <w:p w:rsidR="00E443A0" w:rsidRDefault="00E443A0" w:rsidP="00E443A0">
      <w:pPr>
        <w:jc w:val="both"/>
        <w:rPr>
          <w:color w:val="FF0000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960"/>
        <w:gridCol w:w="960"/>
        <w:gridCol w:w="960"/>
        <w:gridCol w:w="1880"/>
        <w:gridCol w:w="960"/>
        <w:gridCol w:w="960"/>
        <w:gridCol w:w="960"/>
        <w:gridCol w:w="960"/>
      </w:tblGrid>
      <w:tr w:rsidR="00CA4078" w:rsidRPr="001D029E" w:rsidTr="00CA407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78" w:rsidRPr="001D029E" w:rsidRDefault="00CA4078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78" w:rsidRPr="001D029E" w:rsidRDefault="00CA4078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078" w:rsidRPr="00CA4078" w:rsidRDefault="005E30A0" w:rsidP="00CA407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A4078" w:rsidRPr="00CA4078">
              <w:rPr>
                <w:rFonts w:ascii="Arial" w:hAnsi="Arial" w:cs="Arial"/>
                <w:sz w:val="28"/>
                <w:szCs w:val="28"/>
              </w:rPr>
              <w:t xml:space="preserve">POPIS </w:t>
            </w:r>
            <w:r w:rsidR="00CA4078">
              <w:rPr>
                <w:rFonts w:ascii="Arial" w:hAnsi="Arial" w:cs="Arial"/>
                <w:sz w:val="28"/>
                <w:szCs w:val="28"/>
              </w:rPr>
              <w:t>ŽUPANIJSKIH</w:t>
            </w:r>
            <w:r w:rsidR="00CA4078" w:rsidRPr="00CA4078">
              <w:rPr>
                <w:rFonts w:ascii="Arial" w:hAnsi="Arial" w:cs="Arial"/>
                <w:sz w:val="28"/>
                <w:szCs w:val="28"/>
              </w:rPr>
              <w:t xml:space="preserve"> CESTA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78" w:rsidRPr="001D029E" w:rsidRDefault="00CA4078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78" w:rsidRPr="001D029E" w:rsidRDefault="00CA4078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5E30A0">
        <w:trPr>
          <w:trHeight w:val="28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1D029E" w:rsidRDefault="00E443A0" w:rsidP="005E30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VUKOVARSKO - SRIJEMSKE ŽUPANIJE</w:t>
            </w:r>
          </w:p>
        </w:tc>
      </w:tr>
      <w:tr w:rsidR="00E443A0" w:rsidRPr="001D029E" w:rsidTr="00CA4078">
        <w:trPr>
          <w:trHeight w:val="33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CA4078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Broj ceste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ceste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Duljina (km)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Vrsta kolnika (km)</w:t>
            </w:r>
          </w:p>
        </w:tc>
      </w:tr>
      <w:tr w:rsidR="00E443A0" w:rsidRPr="001D029E" w:rsidTr="00CA4078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Merge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asfalt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tucanik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zemlja</w:t>
            </w:r>
          </w:p>
        </w:tc>
      </w:tr>
      <w:tr w:rsidR="00E443A0" w:rsidRPr="001D029E" w:rsidTr="00CA4078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CA4078">
        <w:trPr>
          <w:trHeight w:val="2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Vera (L44086)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Pačetin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15,136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15,136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D518 -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Laslovo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Korođ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Silaš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(L44083)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Korođ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(Ž4121)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Kešinci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(Ž4132) - Stari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Mikanovci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Gaboš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(D518)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Ostrovo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(Ž4148) - Ž4134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Nuštar (D55) - Cerić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Nuštar (D55)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Bogdanovci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Vrbica (Ž4133)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Markušica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20,425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Karadžićevo (L46059)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Jarmina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Vukovara - Petrovci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St.Jankovci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Vođinci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Retkovci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Andrijaševci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Ivankovo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Retkovci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Prkovci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Šiškovci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19,004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19,004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Vinkovci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26,502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63"/>
        </w:trPr>
        <w:tc>
          <w:tcPr>
            <w:tcW w:w="7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 - Privlaka - Otok (D537)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Vukovara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Tovarnik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Opatovac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(D2)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Rokovci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 - Privlaka (Ž4172)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D46 -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N.Jankovci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Svinjarevci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(L46028) - D57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D57 -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Berak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Mikluševci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(Ž4174) - Bapska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Šarengrad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Ilok (Ž4200) - gr.R.Srbije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Ilok: D2 - 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Bartolovci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(D525)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Slavonski Brod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Garčin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Strizivojna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St.Mikanovci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4,968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D.Andrijevci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(Ž4202)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Divoševci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V.Kopanica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Gundinci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B.Greda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Štitar - Ž4170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18,134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Gradište (Ž4170) - D55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Otok (D537) - Bošnjaci (D214)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16,300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265426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43A0"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265426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43A0"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Otok (D537) - Nijemci (D57)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Ž4224 -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D.Novo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Selo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lastRenderedPageBreak/>
              <w:t>4229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Bošnjaci (D214) - D537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D214 -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Soljani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Strošinci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26,256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Ž4299 -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Đurići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Račinovci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8,254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10,695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Rajevo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Selo (L46053) - D214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Tovarnik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Nijemci (D57)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Čvorište Lipovac (A3) - Ž4230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22,900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2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43A0" w:rsidRPr="001D029E" w:rsidTr="00CA4078">
        <w:trPr>
          <w:trHeight w:val="503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4299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Čvorište Spačva (A3) - Vrbanja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Gunja (D214)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CA4078">
        <w:trPr>
          <w:trHeight w:val="2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4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425,720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5426">
              <w:rPr>
                <w:rFonts w:ascii="Arial" w:hAnsi="Arial" w:cs="Arial"/>
                <w:sz w:val="20"/>
                <w:szCs w:val="20"/>
              </w:rPr>
              <w:t>2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 w:rsidR="00265426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</w:t>
            </w:r>
            <w:r w:rsidR="00265426">
              <w:rPr>
                <w:rFonts w:ascii="Arial" w:hAnsi="Arial" w:cs="Arial"/>
                <w:sz w:val="20"/>
                <w:szCs w:val="20"/>
              </w:rPr>
              <w:t>3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 w:rsidR="00265426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095</w:t>
            </w:r>
          </w:p>
        </w:tc>
      </w:tr>
    </w:tbl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tbl>
      <w:tblPr>
        <w:tblW w:w="9102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658"/>
        <w:gridCol w:w="656"/>
        <w:gridCol w:w="656"/>
        <w:gridCol w:w="656"/>
        <w:gridCol w:w="1476"/>
        <w:gridCol w:w="1298"/>
        <w:gridCol w:w="1261"/>
        <w:gridCol w:w="1108"/>
      </w:tblGrid>
      <w:tr w:rsidR="00E443A0" w:rsidRPr="00E858CB" w:rsidTr="00E443A0">
        <w:trPr>
          <w:trHeight w:val="390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E858CB">
              <w:rPr>
                <w:rFonts w:ascii="Arial" w:hAnsi="Arial" w:cs="Arial"/>
                <w:sz w:val="28"/>
                <w:szCs w:val="28"/>
              </w:rPr>
              <w:lastRenderedPageBreak/>
              <w:t>POPIS LOKALNIH CESTA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VUKOVARSKO - SRIJEMSKE ŽUPANIJE</w:t>
            </w:r>
          </w:p>
        </w:tc>
      </w:tr>
      <w:tr w:rsidR="00E443A0" w:rsidRPr="00E858CB" w:rsidTr="00E443A0">
        <w:trPr>
          <w:trHeight w:val="330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555"/>
        </w:trPr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Broj ceste</w:t>
            </w:r>
          </w:p>
        </w:tc>
        <w:tc>
          <w:tcPr>
            <w:tcW w:w="2626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ceste </w:t>
            </w:r>
          </w:p>
        </w:tc>
        <w:tc>
          <w:tcPr>
            <w:tcW w:w="1476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Duljina (km)</w:t>
            </w:r>
          </w:p>
        </w:tc>
        <w:tc>
          <w:tcPr>
            <w:tcW w:w="3667" w:type="dxa"/>
            <w:gridSpan w:val="3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Vrsta kolnika (km)</w:t>
            </w:r>
          </w:p>
        </w:tc>
      </w:tr>
      <w:tr w:rsidR="00E443A0" w:rsidRPr="00E858CB" w:rsidTr="00E443A0">
        <w:trPr>
          <w:trHeight w:val="285"/>
        </w:trPr>
        <w:tc>
          <w:tcPr>
            <w:tcW w:w="13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asfalt</w:t>
            </w:r>
          </w:p>
        </w:tc>
        <w:tc>
          <w:tcPr>
            <w:tcW w:w="126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tucanik</w:t>
            </w:r>
          </w:p>
        </w:tc>
        <w:tc>
          <w:tcPr>
            <w:tcW w:w="1108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zemlja</w:t>
            </w:r>
          </w:p>
        </w:tc>
      </w:tr>
      <w:tr w:rsidR="00E443A0" w:rsidRPr="00E858CB" w:rsidTr="00E443A0">
        <w:trPr>
          <w:trHeight w:val="28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70"/>
        </w:trPr>
        <w:tc>
          <w:tcPr>
            <w:tcW w:w="133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44086</w:t>
            </w:r>
          </w:p>
        </w:tc>
        <w:tc>
          <w:tcPr>
            <w:tcW w:w="2626" w:type="dxa"/>
            <w:gridSpan w:val="4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D213 - Vera (Ž4111)</w:t>
            </w:r>
          </w:p>
        </w:tc>
        <w:tc>
          <w:tcPr>
            <w:tcW w:w="147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3,683</w:t>
            </w:r>
          </w:p>
        </w:tc>
        <w:tc>
          <w:tcPr>
            <w:tcW w:w="1298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3,683</w:t>
            </w:r>
          </w:p>
        </w:tc>
        <w:tc>
          <w:tcPr>
            <w:tcW w:w="126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44114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L44083 - Ćelije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(Ž4111)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L44114 -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Ludvinci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(Ž4148)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6,476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2,386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4,090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5E30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(Ž4111)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Trpinja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(D2)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1,465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5E30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  <w:r w:rsidR="005E30A0" w:rsidRPr="00E858CB">
              <w:rPr>
                <w:rFonts w:ascii="Arial" w:hAnsi="Arial" w:cs="Arial"/>
                <w:sz w:val="20"/>
                <w:szCs w:val="20"/>
              </w:rPr>
              <w:t>2,070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D2 - Borovo (D519)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4,850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Ž4111 -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2,076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. Grada Vukovara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Bršadin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(D55)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2,257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0,491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1,766</w:t>
            </w:r>
          </w:p>
        </w:tc>
      </w:tr>
      <w:tr w:rsidR="00E443A0" w:rsidRPr="00E858CB" w:rsidTr="00E443A0">
        <w:trPr>
          <w:trHeight w:val="510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Petrovci (Ž4150)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Negoslavci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10,439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1,843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8,596</w:t>
            </w:r>
          </w:p>
        </w:tc>
      </w:tr>
      <w:tr w:rsidR="00E443A0" w:rsidRPr="00E858CB" w:rsidTr="00E443A0">
        <w:trPr>
          <w:trHeight w:val="510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. Grada Vukovara - Grabovo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6,751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2,411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4,340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L46014 -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Mikluševci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2,499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1,406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Ž4173 - D2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2,176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2,176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Prkovci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(Ž4167)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B.Greda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(D520)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14,500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316CCD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46018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(Ž4170)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Gradište (Ž4170)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D55 - Privlaka (Ž4193)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5,935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0,695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5,240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Ž4172 -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Đeletovci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(D57)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14,602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14,602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Srijemske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Laze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L46026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46028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Svinjarevci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(Ž4195)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Slakovci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Slakovci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(D537)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Orolik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L46026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4,890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1,185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3,705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 - D46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4,683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4,683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D46 - Vinkovački Banovci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Ilača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Mohovo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(D2)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(Ž4174)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4,287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4,287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Bapska (Ž4198)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3,017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3,017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Ilok: Ž4200 - Ž4199  Radićeva ul.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1,234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1,234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881D80">
        <w:trPr>
          <w:trHeight w:val="50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lastRenderedPageBreak/>
              <w:t>46037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Ilok: Ž4200 - D2 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M.Gupca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ul.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Ilok (Ž4200) - GP Ilok (gr.R.Srbije)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2,771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2,771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Ž4199 -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1,354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1,354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Ž4170 - D55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0,560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0,560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L46042 - Županja (Ž4170)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3,590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3,590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Ž4229 - Gunja (Ž4299)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17,852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16,852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D537 - D57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13,600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1,447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12,153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Lipovac (D57)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Rajevo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6,217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D214 - Ž4299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6,653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6,653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Soljani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(Ž4299)</w:t>
            </w:r>
          </w:p>
        </w:tc>
        <w:tc>
          <w:tcPr>
            <w:tcW w:w="14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6,271</w:t>
            </w:r>
          </w:p>
        </w:tc>
        <w:tc>
          <w:tcPr>
            <w:tcW w:w="129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(L46055)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Đurići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(Ž4231)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4,713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4,713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Račinovci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4,176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4,176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Karadžićevo (Ž4149) - D518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4,900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1108" w:type="dxa"/>
            <w:tcBorders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46060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L46039 - Radoš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46061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Lipovac: D57 - D57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70"/>
        </w:trPr>
        <w:tc>
          <w:tcPr>
            <w:tcW w:w="1333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dxa"/>
            <w:gridSpan w:val="4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7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198,458</w:t>
            </w:r>
          </w:p>
        </w:tc>
        <w:tc>
          <w:tcPr>
            <w:tcW w:w="1298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6CCD">
              <w:rPr>
                <w:rFonts w:ascii="Arial" w:hAnsi="Arial" w:cs="Arial"/>
                <w:sz w:val="20"/>
                <w:szCs w:val="20"/>
              </w:rPr>
              <w:t>7</w:t>
            </w:r>
            <w:r w:rsidRPr="00E858CB">
              <w:rPr>
                <w:rFonts w:ascii="Arial" w:hAnsi="Arial" w:cs="Arial"/>
                <w:sz w:val="20"/>
                <w:szCs w:val="20"/>
              </w:rPr>
              <w:t>,</w:t>
            </w:r>
            <w:r w:rsidR="00316CCD">
              <w:rPr>
                <w:rFonts w:ascii="Arial" w:hAnsi="Arial" w:cs="Arial"/>
                <w:sz w:val="20"/>
                <w:szCs w:val="20"/>
              </w:rPr>
              <w:t>66</w:t>
            </w:r>
            <w:r w:rsidRPr="00E858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316CCD" w:rsidP="005E30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E30A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30A0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1108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</w:t>
            </w:r>
            <w:r w:rsidR="005E30A0">
              <w:rPr>
                <w:rFonts w:ascii="Arial" w:hAnsi="Arial" w:cs="Arial"/>
                <w:sz w:val="20"/>
                <w:szCs w:val="20"/>
              </w:rPr>
              <w:t>2</w:t>
            </w:r>
            <w:r w:rsidRPr="00E858CB">
              <w:rPr>
                <w:rFonts w:ascii="Arial" w:hAnsi="Arial" w:cs="Arial"/>
                <w:sz w:val="20"/>
                <w:szCs w:val="20"/>
              </w:rPr>
              <w:t>,</w:t>
            </w:r>
            <w:r w:rsidR="005E30A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</w:tr>
    </w:tbl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</w:pPr>
      <w:bookmarkStart w:id="0" w:name="_GoBack"/>
      <w:bookmarkEnd w:id="0"/>
    </w:p>
    <w:p w:rsidR="00E443A0" w:rsidRDefault="00E443A0" w:rsidP="00E443A0">
      <w:pPr>
        <w:ind w:left="360"/>
        <w:rPr>
          <w:b/>
          <w:bCs/>
        </w:rPr>
      </w:pPr>
      <w:r>
        <w:rPr>
          <w:b/>
          <w:bCs/>
        </w:rPr>
        <w:t>2.2.  Stanje županijskih i lokalnih cesta na području Vukovarsko - srijemske županije</w:t>
      </w:r>
    </w:p>
    <w:p w:rsidR="00E443A0" w:rsidRPr="0064699E" w:rsidRDefault="00E443A0" w:rsidP="00E443A0">
      <w:pPr>
        <w:ind w:left="360"/>
        <w:rPr>
          <w:b/>
          <w:bCs/>
        </w:rPr>
      </w:pPr>
    </w:p>
    <w:p w:rsidR="00E443A0" w:rsidRPr="0064699E" w:rsidRDefault="00E443A0" w:rsidP="00E443A0">
      <w:pPr>
        <w:pStyle w:val="Tijeloteksta-uvlaka2"/>
        <w:spacing w:after="0" w:line="240" w:lineRule="auto"/>
        <w:ind w:left="0"/>
        <w:jc w:val="both"/>
      </w:pPr>
      <w:r w:rsidRPr="0064699E">
        <w:rPr>
          <w:rFonts w:ascii="Times New Roman" w:hAnsi="Times New Roman"/>
        </w:rPr>
        <w:tab/>
        <w:t>Odlukom  o razvrstavanju javnih cesta Uprava za ceste Vukovarsko-srijemske županije skrbi trenutno o:</w:t>
      </w:r>
    </w:p>
    <w:p w:rsidR="00E443A0" w:rsidRPr="00E4320E" w:rsidRDefault="00E443A0" w:rsidP="00E443A0">
      <w:pPr>
        <w:pStyle w:val="Tijeloteksta-uvlaka2"/>
        <w:spacing w:after="0" w:line="240" w:lineRule="auto"/>
        <w:ind w:left="284"/>
        <w:rPr>
          <w:rFonts w:ascii="Times New Roman" w:hAnsi="Times New Roman"/>
        </w:rPr>
      </w:pPr>
    </w:p>
    <w:p w:rsidR="00E443A0" w:rsidRPr="00E4320E" w:rsidRDefault="00E443A0" w:rsidP="00E443A0">
      <w:pPr>
        <w:ind w:left="360"/>
      </w:pPr>
      <w:r w:rsidRPr="00E4320E">
        <w:rPr>
          <w:b/>
          <w:bCs/>
          <w:i/>
          <w:iCs/>
        </w:rPr>
        <w:t>Tablica broj 1.:</w:t>
      </w:r>
      <w:r w:rsidRPr="00E4320E">
        <w:t xml:space="preserve">   </w:t>
      </w:r>
      <w:r w:rsidRPr="00E4320E">
        <w:rPr>
          <w:u w:val="single"/>
        </w:rPr>
        <w:t>Ukupna dužina ŽC i LC i vrsta kolnika</w:t>
      </w:r>
      <w:r w:rsidRPr="00E4320E">
        <w:t xml:space="preserve">     </w:t>
      </w: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2312"/>
        <w:gridCol w:w="2349"/>
        <w:gridCol w:w="2345"/>
        <w:gridCol w:w="1044"/>
      </w:tblGrid>
      <w:tr w:rsidR="00E443A0" w:rsidRPr="00700028" w:rsidTr="00E443A0">
        <w:trPr>
          <w:trHeight w:val="402"/>
        </w:trPr>
        <w:tc>
          <w:tcPr>
            <w:tcW w:w="231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Kategorija ceste</w:t>
            </w:r>
          </w:p>
        </w:tc>
        <w:tc>
          <w:tcPr>
            <w:tcW w:w="469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Vrsta kolnika</w:t>
            </w:r>
          </w:p>
        </w:tc>
        <w:tc>
          <w:tcPr>
            <w:tcW w:w="10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</w:tr>
      <w:tr w:rsidR="00E443A0" w:rsidRPr="00700028" w:rsidTr="00E443A0">
        <w:trPr>
          <w:trHeight w:val="735"/>
        </w:trPr>
        <w:tc>
          <w:tcPr>
            <w:tcW w:w="231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Asfalt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Ostalo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Županijske ceste (km)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35</w:t>
            </w:r>
            <w:r w:rsidR="00E67E36">
              <w:rPr>
                <w:b/>
                <w:bCs/>
                <w:color w:val="000000"/>
              </w:rPr>
              <w:t>2</w:t>
            </w:r>
            <w:r w:rsidRPr="00700028">
              <w:rPr>
                <w:b/>
                <w:bCs/>
                <w:color w:val="000000"/>
              </w:rPr>
              <w:t>,</w:t>
            </w:r>
            <w:r w:rsidR="00E67E36">
              <w:rPr>
                <w:b/>
                <w:bCs/>
                <w:color w:val="000000"/>
              </w:rPr>
              <w:t>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7</w:t>
            </w:r>
            <w:r w:rsidR="00E67E36">
              <w:rPr>
                <w:b/>
                <w:bCs/>
                <w:color w:val="000000"/>
              </w:rPr>
              <w:t>3</w:t>
            </w:r>
            <w:r w:rsidRPr="00700028">
              <w:rPr>
                <w:b/>
                <w:bCs/>
                <w:color w:val="000000"/>
              </w:rPr>
              <w:t>,</w:t>
            </w:r>
            <w:r w:rsidR="00E67E36">
              <w:rPr>
                <w:b/>
                <w:bCs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425,7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Lokalne ceste (km)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11</w:t>
            </w:r>
            <w:r w:rsidR="00491F17">
              <w:rPr>
                <w:b/>
                <w:bCs/>
                <w:color w:val="000000"/>
              </w:rPr>
              <w:t>7</w:t>
            </w:r>
            <w:r w:rsidRPr="00700028">
              <w:rPr>
                <w:b/>
                <w:bCs/>
                <w:color w:val="000000"/>
              </w:rPr>
              <w:t>,</w:t>
            </w:r>
            <w:r w:rsidR="00491F17">
              <w:rPr>
                <w:b/>
                <w:bCs/>
                <w:color w:val="000000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491F17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proofErr w:type="spellStart"/>
            <w:r>
              <w:rPr>
                <w:b/>
                <w:bCs/>
                <w:color w:val="000000"/>
              </w:rPr>
              <w:t>80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198,4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 (km):</w:t>
            </w:r>
          </w:p>
        </w:tc>
        <w:tc>
          <w:tcPr>
            <w:tcW w:w="23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67E3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46</w:t>
            </w:r>
            <w:r w:rsidR="00491F17">
              <w:rPr>
                <w:b/>
                <w:bCs/>
                <w:color w:val="000000"/>
              </w:rPr>
              <w:t>9</w:t>
            </w:r>
            <w:r w:rsidRPr="00700028">
              <w:rPr>
                <w:b/>
                <w:bCs/>
                <w:color w:val="000000"/>
              </w:rPr>
              <w:t>,</w:t>
            </w:r>
            <w:r w:rsidR="00E67E36">
              <w:rPr>
                <w:b/>
                <w:bCs/>
                <w:color w:val="000000"/>
              </w:rPr>
              <w:t>98</w:t>
            </w:r>
          </w:p>
        </w:tc>
        <w:tc>
          <w:tcPr>
            <w:tcW w:w="23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</w:t>
            </w:r>
            <w:r w:rsidR="00491F17">
              <w:rPr>
                <w:b/>
                <w:bCs/>
                <w:color w:val="000000"/>
              </w:rPr>
              <w:t>5</w:t>
            </w:r>
            <w:r w:rsidR="00E67E36">
              <w:rPr>
                <w:b/>
                <w:bCs/>
                <w:color w:val="000000"/>
              </w:rPr>
              <w:t>4</w:t>
            </w:r>
            <w:r w:rsidRPr="00700028">
              <w:rPr>
                <w:b/>
                <w:bCs/>
                <w:color w:val="000000"/>
              </w:rPr>
              <w:t>,</w:t>
            </w:r>
            <w:r w:rsidR="00E67E36">
              <w:rPr>
                <w:b/>
                <w:bCs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624,18</w:t>
            </w:r>
          </w:p>
        </w:tc>
      </w:tr>
    </w:tbl>
    <w:p w:rsidR="00E443A0" w:rsidRPr="00E4320E" w:rsidRDefault="00E443A0" w:rsidP="00E443A0">
      <w:pPr>
        <w:ind w:left="360"/>
      </w:pPr>
      <w:r w:rsidRPr="00E4320E">
        <w:t xml:space="preserve">                                                 </w:t>
      </w:r>
      <w:r w:rsidRPr="00E4320E">
        <w:tab/>
      </w:r>
    </w:p>
    <w:p w:rsidR="00E443A0" w:rsidRPr="00E4320E" w:rsidRDefault="00E443A0" w:rsidP="00E443A0">
      <w:pPr>
        <w:jc w:val="both"/>
      </w:pPr>
      <w:r w:rsidRPr="00E4320E">
        <w:tab/>
        <w:t>Podaci sadržani u tablici br.1. ukazuju na relativno zadovoljavajuće stanje javnih cesta, obzirom da je asfaltirano 7</w:t>
      </w:r>
      <w:r w:rsidR="00491F17">
        <w:t>5</w:t>
      </w:r>
      <w:r w:rsidRPr="00E4320E">
        <w:t>,</w:t>
      </w:r>
      <w:r w:rsidR="00E67E36">
        <w:t>29%</w:t>
      </w:r>
      <w:r w:rsidRPr="00E4320E">
        <w:t xml:space="preserve"> županijskih i lokalnih cesta. </w:t>
      </w:r>
    </w:p>
    <w:p w:rsidR="00E443A0" w:rsidRDefault="00E443A0" w:rsidP="00E443A0">
      <w:pPr>
        <w:ind w:firstLine="708"/>
        <w:jc w:val="both"/>
      </w:pPr>
      <w:r w:rsidRPr="00E4320E">
        <w:t>Ukupna dužina  ŽC i LC u Vukovarsko – srijemskoj županiji iznosi 624,178  km.</w:t>
      </w:r>
    </w:p>
    <w:p w:rsidR="00E443A0" w:rsidRPr="00E4320E" w:rsidRDefault="00E443A0" w:rsidP="00E443A0">
      <w:pPr>
        <w:ind w:firstLine="708"/>
        <w:jc w:val="both"/>
        <w:sectPr w:rsidR="00E443A0" w:rsidRPr="00E4320E">
          <w:footerReference w:type="default" r:id="rId10"/>
          <w:pgSz w:w="11907" w:h="16840"/>
          <w:pgMar w:top="1418" w:right="1418" w:bottom="1418" w:left="1418" w:header="720" w:footer="720" w:gutter="0"/>
          <w:cols w:space="720"/>
          <w:titlePg/>
        </w:sectPr>
      </w:pPr>
    </w:p>
    <w:p w:rsidR="00E443A0" w:rsidRPr="00F3005D" w:rsidRDefault="00E443A0" w:rsidP="00E443A0">
      <w:pPr>
        <w:ind w:left="-737" w:firstLine="709"/>
        <w:rPr>
          <w:b/>
        </w:rPr>
      </w:pPr>
      <w:r w:rsidRPr="00F3005D">
        <w:rPr>
          <w:b/>
        </w:rPr>
        <w:lastRenderedPageBreak/>
        <w:t>2.3. Tehnička kategorizacija županijskih i lokalnih cesta na području VSŽ</w:t>
      </w: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9"/>
        <w:rPr>
          <w:b/>
        </w:rPr>
      </w:pPr>
    </w:p>
    <w:tbl>
      <w:tblPr>
        <w:tblW w:w="15928" w:type="dxa"/>
        <w:tblInd w:w="-95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Tehnička kategorizacija lokalnih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E443A0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44086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44114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728" w:type="dxa"/>
            <w:gridSpan w:val="5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Ludvinci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Ludvinci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(Ž4111)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Ž4111-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-D2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46003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D2 - Borovo (D519)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Borovo - D519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Petrovci (Ž4150)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Ž4150 - Petrovci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Petrovci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46014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(Ž4167)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(D520)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Ž4167 -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D55 - Privlaka (Ž4193)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D55 - Privlaka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Privlaka - Ž4193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L46026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46031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46052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</w:tr>
      <w:tr w:rsidR="00E443A0" w:rsidRPr="008165D8" w:rsidTr="00E443A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192,539</w:t>
            </w:r>
          </w:p>
        </w:tc>
      </w:tr>
    </w:tbl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tbl>
      <w:tblPr>
        <w:tblW w:w="15309" w:type="dxa"/>
        <w:tblInd w:w="-73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Tehnička kategorizacija županijskih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E443A0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60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granica županije-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4167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4195 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Šidski Banovci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Banovci - D46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4199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Bartolovci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(D525)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. Grada Slavonski Brod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Garčin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Strizivojna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Osječko baranjska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D.Andrijevci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(Ž4202)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Divoševci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V.Kopanica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Gundinci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Brodsko Posavske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Otok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Vinkovci-Brčko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110 - Virovi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Bošnjaci (D214) - D537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D214-Bošnjaci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Bošnjaci-Spačva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Spačva - D537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Nijemci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Nijemci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Nijemci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4299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425,720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88,592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191,730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145,398</w:t>
            </w:r>
          </w:p>
        </w:tc>
      </w:tr>
    </w:tbl>
    <w:p w:rsidR="00E443A0" w:rsidRPr="0035606C" w:rsidRDefault="00E443A0" w:rsidP="00E443A0">
      <w:pPr>
        <w:ind w:firstLine="708"/>
        <w:rPr>
          <w:b/>
        </w:rPr>
        <w:sectPr w:rsidR="00E443A0" w:rsidRPr="0035606C" w:rsidSect="00E443A0">
          <w:pgSz w:w="16840" w:h="11907" w:orient="landscape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E443A0" w:rsidRDefault="00E443A0" w:rsidP="00E443A0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43A0" w:rsidRDefault="00E443A0" w:rsidP="00E443A0">
      <w:pPr>
        <w:jc w:val="both"/>
      </w:pPr>
      <w:r>
        <w:t>Poslovi građenja i rekonstrukcije javnih cesta obuhvaćaju:</w:t>
      </w:r>
    </w:p>
    <w:p w:rsidR="00E443A0" w:rsidRDefault="00E443A0" w:rsidP="00E443A0">
      <w:pPr>
        <w:jc w:val="both"/>
      </w:pPr>
      <w:r>
        <w:t>–pripremu, izradu i ustupanje izrade potrebnih studija te njihovu stručnu ocjenu,</w:t>
      </w:r>
    </w:p>
    <w:p w:rsidR="00E443A0" w:rsidRDefault="00E443A0" w:rsidP="00E443A0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43A0" w:rsidRDefault="00E443A0" w:rsidP="00E443A0">
      <w:pPr>
        <w:jc w:val="both"/>
      </w:pPr>
      <w:r>
        <w:t>–pokretanje postupka ocjene prihvatljivosti zahvata za ekološku mrežu,</w:t>
      </w:r>
    </w:p>
    <w:p w:rsidR="00E443A0" w:rsidRDefault="00E443A0" w:rsidP="00E443A0">
      <w:pPr>
        <w:jc w:val="both"/>
      </w:pPr>
      <w:r>
        <w:t>–ustupanje usluga projektiranja s istražnim radovima,</w:t>
      </w:r>
    </w:p>
    <w:p w:rsidR="00E443A0" w:rsidRDefault="00E443A0" w:rsidP="00E443A0">
      <w:pPr>
        <w:jc w:val="both"/>
      </w:pPr>
      <w:r>
        <w:t>–ustupanje usluga projektiranja opreme, pratećih objekata i prometne signalizacije,</w:t>
      </w:r>
    </w:p>
    <w:p w:rsidR="00E443A0" w:rsidRDefault="00E443A0" w:rsidP="00E443A0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43A0" w:rsidRDefault="00E443A0" w:rsidP="00E443A0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43A0" w:rsidRDefault="00E443A0" w:rsidP="00E443A0">
      <w:pPr>
        <w:jc w:val="both"/>
      </w:pPr>
      <w:r>
        <w:t>–ustupanje geodetskih radova,</w:t>
      </w:r>
    </w:p>
    <w:p w:rsidR="00E443A0" w:rsidRDefault="00E443A0" w:rsidP="00E443A0">
      <w:pPr>
        <w:jc w:val="both"/>
      </w:pPr>
      <w:r>
        <w:t>–ustupanje radova građenja i rekonstrukcije,</w:t>
      </w:r>
    </w:p>
    <w:p w:rsidR="00E443A0" w:rsidRDefault="00E443A0" w:rsidP="00E443A0">
      <w:pPr>
        <w:jc w:val="both"/>
      </w:pPr>
      <w:r>
        <w:t>–ustupanje usluga stručnog nadzora građenja,</w:t>
      </w:r>
    </w:p>
    <w:p w:rsidR="00E443A0" w:rsidRDefault="00E443A0" w:rsidP="00E443A0">
      <w:pPr>
        <w:jc w:val="both"/>
      </w:pPr>
      <w:r>
        <w:t>–organizaciju tehničkog pregleda i primopredaju javne ceste te dijelova javne ceste i objekata na korištenje i održavanje,</w:t>
      </w:r>
    </w:p>
    <w:p w:rsidR="00E443A0" w:rsidRDefault="00E443A0" w:rsidP="00E443A0">
      <w:pPr>
        <w:jc w:val="both"/>
      </w:pPr>
      <w:r>
        <w:t>–investitorski nadzor nad provođenjem projekata,</w:t>
      </w:r>
    </w:p>
    <w:p w:rsidR="00E443A0" w:rsidRDefault="00E443A0" w:rsidP="00E443A0">
      <w:pPr>
        <w:jc w:val="both"/>
      </w:pPr>
      <w:r>
        <w:t>–ustupanje revizije projekata u odnosu na osnovne uvjete kojima javna cesta mora udovoljiti u pogledu sigurnosti prometa.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>3.1. Ulaganja u izgradnju županijskih i lokalnih cesta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Planirani program izgradnje županijskih i lokalnih cesta u 202</w:t>
      </w:r>
      <w:r w:rsidR="0012546B">
        <w:t>2</w:t>
      </w:r>
      <w:r>
        <w:t>.g. sadržan je u tablici br.3.,  iz koje je vidljivo kako Uprava za ceste Vukovarsko - srijemske županije nastavlja ulaganja u razvoj cestovne infrastrukture, gradnju i održavanje u skladu sa financijskim mogućnostima i  uz racionalno korištenje raspoloživih sredstava.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br.3. Pregled ulaganja u izgradnju županijskih cesta u 202</w:t>
      </w:r>
      <w:r w:rsidR="0012546B">
        <w:t>2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E443A0" w:rsidTr="00E443A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25082D" w:rsidTr="007B1B4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Pr="00AC725E" w:rsidRDefault="007B1B48" w:rsidP="00E443A0">
            <w:pPr>
              <w:jc w:val="center"/>
              <w:rPr>
                <w:b/>
                <w:bCs/>
                <w:color w:val="0075A2"/>
              </w:rPr>
            </w:pPr>
            <w:r w:rsidRPr="00AC725E">
              <w:rPr>
                <w:b/>
                <w:bCs/>
                <w:color w:val="0075A2"/>
              </w:rPr>
              <w:t>ŽC 4223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2D" w:rsidRDefault="007B1B48" w:rsidP="00E443A0">
            <w:pPr>
              <w:rPr>
                <w:b/>
                <w:color w:val="0075A2"/>
              </w:rPr>
            </w:pPr>
            <w:r w:rsidRPr="007B1B48">
              <w:rPr>
                <w:b/>
                <w:color w:val="0075A2"/>
              </w:rPr>
              <w:t>Otok (D537) - Bošnjaci (D214)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Pr="000B5599" w:rsidRDefault="000B5599" w:rsidP="0025082D">
            <w:pPr>
              <w:jc w:val="right"/>
              <w:rPr>
                <w:b/>
                <w:color w:val="0075A2"/>
              </w:rPr>
            </w:pPr>
            <w:r w:rsidRPr="000B5599">
              <w:rPr>
                <w:b/>
                <w:color w:val="0075A2"/>
              </w:rPr>
              <w:t>2.040.000,00</w:t>
            </w:r>
          </w:p>
        </w:tc>
      </w:tr>
      <w:tr w:rsidR="0025082D" w:rsidTr="007B1B48">
        <w:trPr>
          <w:trHeight w:val="3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Pr="00AC725E" w:rsidRDefault="0025082D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7B1B48" w:rsidP="00B92F6D">
            <w:pPr>
              <w:rPr>
                <w:color w:val="0075A2"/>
              </w:rPr>
            </w:pPr>
            <w:r>
              <w:rPr>
                <w:color w:val="0075A2"/>
              </w:rPr>
              <w:t xml:space="preserve">Nastavak 3.faze </w:t>
            </w:r>
            <w:r w:rsidR="00D812F0" w:rsidRPr="00D812F0">
              <w:rPr>
                <w:color w:val="0075A2"/>
              </w:rPr>
              <w:t>izgradnje</w:t>
            </w:r>
            <w:r w:rsidR="00D812F0">
              <w:rPr>
                <w:color w:val="0075A2"/>
              </w:rPr>
              <w:t xml:space="preserve"> </w:t>
            </w:r>
            <w:r w:rsidR="00D812F0" w:rsidRPr="00D812F0">
              <w:rPr>
                <w:color w:val="0075A2"/>
              </w:rPr>
              <w:t>županijske ceste</w:t>
            </w:r>
            <w:r w:rsidR="00D812F0">
              <w:rPr>
                <w:color w:val="0075A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AC725E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2.000.000,00</w:t>
            </w:r>
          </w:p>
        </w:tc>
      </w:tr>
      <w:tr w:rsidR="0025082D" w:rsidTr="007B1B48">
        <w:trPr>
          <w:trHeight w:val="33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Pr="00AC725E" w:rsidRDefault="0025082D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7B1B48" w:rsidP="007B1B48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0B5599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40.000,00</w:t>
            </w:r>
          </w:p>
        </w:tc>
      </w:tr>
      <w:tr w:rsidR="007B1B48" w:rsidTr="007B1B48">
        <w:trPr>
          <w:trHeight w:val="2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E443A0">
            <w:pPr>
              <w:jc w:val="center"/>
              <w:rPr>
                <w:b/>
                <w:bCs/>
                <w:color w:val="0075A2"/>
              </w:rPr>
            </w:pPr>
            <w:r w:rsidRPr="00AC725E">
              <w:rPr>
                <w:b/>
                <w:bCs/>
                <w:color w:val="0075A2"/>
              </w:rPr>
              <w:t>LC 46017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7B1B48">
            <w:pPr>
              <w:rPr>
                <w:b/>
                <w:color w:val="0075A2"/>
              </w:rPr>
            </w:pPr>
            <w:proofErr w:type="spellStart"/>
            <w:r w:rsidRPr="00AC725E">
              <w:rPr>
                <w:b/>
                <w:color w:val="0075A2"/>
              </w:rPr>
              <w:t>Prkovci</w:t>
            </w:r>
            <w:proofErr w:type="spellEnd"/>
            <w:r w:rsidRPr="00AC725E">
              <w:rPr>
                <w:b/>
                <w:color w:val="0075A2"/>
              </w:rPr>
              <w:t xml:space="preserve"> (Ž4167) - </w:t>
            </w:r>
            <w:proofErr w:type="spellStart"/>
            <w:r w:rsidRPr="00AC725E">
              <w:rPr>
                <w:b/>
                <w:color w:val="0075A2"/>
              </w:rPr>
              <w:t>B.Greda</w:t>
            </w:r>
            <w:proofErr w:type="spellEnd"/>
            <w:r w:rsidRPr="00AC725E">
              <w:rPr>
                <w:b/>
                <w:color w:val="0075A2"/>
              </w:rPr>
              <w:t xml:space="preserve"> (D520)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0B5599" w:rsidRDefault="000B5599" w:rsidP="00E443A0">
            <w:pPr>
              <w:jc w:val="right"/>
              <w:rPr>
                <w:b/>
                <w:color w:val="0075A2"/>
              </w:rPr>
            </w:pPr>
            <w:r w:rsidRPr="000B5599">
              <w:rPr>
                <w:b/>
                <w:color w:val="0075A2"/>
              </w:rPr>
              <w:t>1.936.040,00</w:t>
            </w:r>
          </w:p>
        </w:tc>
      </w:tr>
      <w:tr w:rsidR="007B1B48" w:rsidTr="007B1B48">
        <w:trPr>
          <w:trHeight w:val="33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1B48" w:rsidP="007B1B48">
            <w:pPr>
              <w:rPr>
                <w:color w:val="0075A2"/>
              </w:rPr>
            </w:pPr>
            <w:r>
              <w:rPr>
                <w:color w:val="0075A2"/>
              </w:rPr>
              <w:t xml:space="preserve">Izgradnja </w:t>
            </w:r>
            <w:proofErr w:type="spellStart"/>
            <w:r>
              <w:rPr>
                <w:color w:val="0075A2"/>
              </w:rPr>
              <w:t>habajućeg</w:t>
            </w:r>
            <w:proofErr w:type="spellEnd"/>
            <w:r>
              <w:rPr>
                <w:color w:val="0075A2"/>
              </w:rPr>
              <w:t xml:space="preserve"> sloja od </w:t>
            </w:r>
            <w:proofErr w:type="spellStart"/>
            <w:r>
              <w:rPr>
                <w:color w:val="0075A2"/>
              </w:rPr>
              <w:t>Prkovaca</w:t>
            </w:r>
            <w:proofErr w:type="spellEnd"/>
            <w:r>
              <w:rPr>
                <w:color w:val="0075A2"/>
              </w:rPr>
              <w:t xml:space="preserve"> do mosta na kanalu </w:t>
            </w:r>
            <w:proofErr w:type="spellStart"/>
            <w:r>
              <w:rPr>
                <w:color w:val="0075A2"/>
              </w:rPr>
              <w:t>Bitulja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AC725E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1.898.078,00</w:t>
            </w:r>
          </w:p>
        </w:tc>
      </w:tr>
      <w:tr w:rsidR="007B1B48" w:rsidTr="00AC725E">
        <w:trPr>
          <w:trHeight w:val="33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1B48" w:rsidP="007B1B48">
            <w:pPr>
              <w:rPr>
                <w:color w:val="0075A2"/>
              </w:rPr>
            </w:pPr>
            <w:r w:rsidRPr="007B1B48"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0B5599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37.962,00</w:t>
            </w:r>
          </w:p>
        </w:tc>
      </w:tr>
      <w:tr w:rsidR="007B1B48" w:rsidTr="00AC725E">
        <w:trPr>
          <w:trHeight w:val="3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E443A0">
            <w:pPr>
              <w:jc w:val="center"/>
              <w:rPr>
                <w:b/>
                <w:bCs/>
                <w:color w:val="0075A2"/>
              </w:rPr>
            </w:pPr>
            <w:r w:rsidRPr="00AC725E">
              <w:rPr>
                <w:b/>
                <w:bCs/>
                <w:color w:val="0075A2"/>
              </w:rPr>
              <w:t>LC46002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7B1B48">
            <w:pPr>
              <w:rPr>
                <w:b/>
                <w:color w:val="0075A2"/>
              </w:rPr>
            </w:pPr>
            <w:proofErr w:type="spellStart"/>
            <w:r w:rsidRPr="00AC725E">
              <w:rPr>
                <w:b/>
                <w:color w:val="0075A2"/>
              </w:rPr>
              <w:t>Bobota</w:t>
            </w:r>
            <w:proofErr w:type="spellEnd"/>
            <w:r w:rsidRPr="00AC725E">
              <w:rPr>
                <w:b/>
                <w:color w:val="0075A2"/>
              </w:rPr>
              <w:t xml:space="preserve"> (Ž4111) - </w:t>
            </w:r>
            <w:proofErr w:type="spellStart"/>
            <w:r w:rsidRPr="00AC725E">
              <w:rPr>
                <w:b/>
                <w:color w:val="0075A2"/>
              </w:rPr>
              <w:t>Trpinja</w:t>
            </w:r>
            <w:proofErr w:type="spellEnd"/>
            <w:r w:rsidRPr="00AC725E">
              <w:rPr>
                <w:b/>
                <w:color w:val="0075A2"/>
              </w:rPr>
              <w:t xml:space="preserve"> (D2)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0B5599" w:rsidRDefault="000B5599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150.000,00</w:t>
            </w:r>
          </w:p>
        </w:tc>
      </w:tr>
      <w:tr w:rsidR="007B1B48" w:rsidTr="00AC725E">
        <w:trPr>
          <w:trHeight w:val="33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7B1B48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7B1B48" w:rsidRDefault="007B1B48" w:rsidP="007B1B48">
            <w:pPr>
              <w:rPr>
                <w:color w:val="0075A2"/>
              </w:rPr>
            </w:pPr>
            <w:r>
              <w:rPr>
                <w:color w:val="0075A2"/>
              </w:rPr>
              <w:t xml:space="preserve">Idejno </w:t>
            </w:r>
            <w:proofErr w:type="spellStart"/>
            <w:r>
              <w:rPr>
                <w:color w:val="0075A2"/>
              </w:rPr>
              <w:t>rj</w:t>
            </w:r>
            <w:proofErr w:type="spellEnd"/>
            <w:r>
              <w:rPr>
                <w:color w:val="0075A2"/>
              </w:rPr>
              <w:t>.,</w:t>
            </w:r>
            <w:proofErr w:type="spellStart"/>
            <w:r>
              <w:rPr>
                <w:color w:val="0075A2"/>
              </w:rPr>
              <w:t>id.proj</w:t>
            </w:r>
            <w:proofErr w:type="spellEnd"/>
            <w:r>
              <w:rPr>
                <w:color w:val="0075A2"/>
              </w:rPr>
              <w:t xml:space="preserve">, i </w:t>
            </w:r>
            <w:proofErr w:type="spellStart"/>
            <w:r>
              <w:rPr>
                <w:color w:val="0075A2"/>
              </w:rPr>
              <w:t>gl.projekt</w:t>
            </w:r>
            <w:proofErr w:type="spellEnd"/>
            <w:r>
              <w:rPr>
                <w:color w:val="0075A2"/>
              </w:rPr>
              <w:t xml:space="preserve"> izgradnje ceste </w:t>
            </w:r>
            <w:proofErr w:type="spellStart"/>
            <w:r>
              <w:rPr>
                <w:color w:val="0075A2"/>
              </w:rPr>
              <w:t>Bobota</w:t>
            </w:r>
            <w:proofErr w:type="spellEnd"/>
            <w:r>
              <w:rPr>
                <w:color w:val="0075A2"/>
              </w:rPr>
              <w:t xml:space="preserve"> -</w:t>
            </w:r>
            <w:proofErr w:type="spellStart"/>
            <w:r>
              <w:rPr>
                <w:color w:val="0075A2"/>
              </w:rPr>
              <w:t>Trpinja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AC725E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150.000,00</w:t>
            </w:r>
          </w:p>
        </w:tc>
      </w:tr>
      <w:tr w:rsidR="000B5599" w:rsidTr="000B5599">
        <w:trPr>
          <w:trHeight w:val="3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Pr="00AC725E" w:rsidRDefault="000B5599" w:rsidP="000B5599">
            <w:pPr>
              <w:jc w:val="center"/>
              <w:rPr>
                <w:b/>
                <w:bCs/>
                <w:color w:val="0075A2"/>
              </w:rPr>
            </w:pPr>
            <w:r w:rsidRPr="00AC725E">
              <w:rPr>
                <w:b/>
                <w:bCs/>
                <w:color w:val="0075A2"/>
              </w:rPr>
              <w:t>ŽC 4194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99" w:rsidRDefault="000B5599" w:rsidP="001F7CBE">
            <w:pPr>
              <w:rPr>
                <w:b/>
                <w:color w:val="0075A2"/>
              </w:rPr>
            </w:pPr>
            <w:r w:rsidRPr="007B1B48">
              <w:rPr>
                <w:b/>
                <w:color w:val="0075A2"/>
              </w:rPr>
              <w:t xml:space="preserve">D46 - </w:t>
            </w:r>
            <w:proofErr w:type="spellStart"/>
            <w:r w:rsidRPr="007B1B48">
              <w:rPr>
                <w:b/>
                <w:color w:val="0075A2"/>
              </w:rPr>
              <w:t>N.Jankovci</w:t>
            </w:r>
            <w:proofErr w:type="spellEnd"/>
            <w:r w:rsidRPr="007B1B48">
              <w:rPr>
                <w:b/>
                <w:color w:val="0075A2"/>
              </w:rPr>
              <w:t xml:space="preserve"> - Ž4172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Pr="000B5599" w:rsidRDefault="00204669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1.981.548,00</w:t>
            </w:r>
          </w:p>
        </w:tc>
      </w:tr>
      <w:tr w:rsidR="000B5599" w:rsidTr="007B1B48">
        <w:trPr>
          <w:trHeight w:val="33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Default="000B5599" w:rsidP="007B1B48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Default="000B5599" w:rsidP="007B1B48">
            <w:pPr>
              <w:rPr>
                <w:color w:val="0075A2"/>
              </w:rPr>
            </w:pPr>
            <w:r>
              <w:rPr>
                <w:color w:val="0075A2"/>
              </w:rPr>
              <w:t xml:space="preserve">Izgradnja propusta na kanalu </w:t>
            </w:r>
            <w:proofErr w:type="spellStart"/>
            <w:r>
              <w:rPr>
                <w:color w:val="0075A2"/>
              </w:rPr>
              <w:t>Vidor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Default="000B5599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1.942.694,00</w:t>
            </w:r>
          </w:p>
        </w:tc>
      </w:tr>
      <w:tr w:rsidR="000B5599" w:rsidTr="007B1B48">
        <w:trPr>
          <w:trHeight w:val="33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Default="000B5599" w:rsidP="007B1B48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Default="000B5599" w:rsidP="007B1B48">
            <w:pPr>
              <w:rPr>
                <w:color w:val="0075A2"/>
              </w:rPr>
            </w:pPr>
            <w:r w:rsidRPr="000B5599"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99" w:rsidRDefault="000B5599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38.854,00</w:t>
            </w:r>
          </w:p>
        </w:tc>
      </w:tr>
      <w:tr w:rsidR="00AC725E" w:rsidTr="007B1B48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E" w:rsidRDefault="00AC725E" w:rsidP="00E443A0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5E" w:rsidRDefault="00204669" w:rsidP="00204669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6</w:t>
            </w:r>
            <w:r w:rsidR="00C028A6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107</w:t>
            </w:r>
            <w:r w:rsidR="00C028A6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588</w:t>
            </w:r>
            <w:r w:rsidR="00C028A6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B92F6D" w:rsidRDefault="00B92F6D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lastRenderedPageBreak/>
        <w:t xml:space="preserve">3.2. Ulaganja u rekonstrukciju županijskih i lokalnih cesta 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12546B">
        <w:t>2</w:t>
      </w:r>
      <w:r>
        <w:t xml:space="preserve">.godini. Program je sadržan u tablici br. 4. 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br.4. Pregled ulaganja u rekonstrukciju županijskih cesta u 202</w:t>
      </w:r>
      <w:r w:rsidR="0012546B">
        <w:t>2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E443A0" w:rsidTr="00E443A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7B1B48" w:rsidTr="007B1B4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7B1B48" w:rsidP="009739D9">
            <w:pPr>
              <w:jc w:val="center"/>
              <w:rPr>
                <w:b/>
                <w:bCs/>
                <w:color w:val="0075A2"/>
              </w:rPr>
            </w:pPr>
            <w:r w:rsidRPr="00AC725E">
              <w:rPr>
                <w:b/>
                <w:bCs/>
                <w:color w:val="0075A2"/>
              </w:rPr>
              <w:t>LC 4601</w:t>
            </w:r>
            <w:r w:rsidR="009739D9">
              <w:rPr>
                <w:b/>
                <w:bCs/>
                <w:color w:val="0075A2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Pr="00AC725E" w:rsidRDefault="00184D97" w:rsidP="007B1B48">
            <w:pPr>
              <w:rPr>
                <w:b/>
                <w:color w:val="0075A2"/>
              </w:rPr>
            </w:pPr>
            <w:r w:rsidRPr="00184D97">
              <w:rPr>
                <w:b/>
                <w:color w:val="0075A2"/>
              </w:rPr>
              <w:t xml:space="preserve">L46014 - </w:t>
            </w:r>
            <w:proofErr w:type="spellStart"/>
            <w:r w:rsidRPr="00184D97">
              <w:rPr>
                <w:b/>
                <w:color w:val="0075A2"/>
              </w:rPr>
              <w:t>Mikluševci</w:t>
            </w:r>
            <w:proofErr w:type="spellEnd"/>
            <w:r w:rsidRPr="00184D97">
              <w:rPr>
                <w:b/>
                <w:color w:val="0075A2"/>
              </w:rPr>
              <w:t xml:space="preserve"> (Ž4196)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06F0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3.1</w:t>
            </w:r>
            <w:r w:rsidR="00D812F0">
              <w:rPr>
                <w:b/>
                <w:color w:val="0075A2"/>
              </w:rPr>
              <w:t>82</w:t>
            </w:r>
            <w:r>
              <w:rPr>
                <w:b/>
                <w:color w:val="0075A2"/>
              </w:rPr>
              <w:t>.</w:t>
            </w:r>
            <w:r w:rsidR="00D812F0">
              <w:rPr>
                <w:b/>
                <w:color w:val="0075A2"/>
              </w:rPr>
              <w:t>400</w:t>
            </w:r>
            <w:r>
              <w:rPr>
                <w:b/>
                <w:color w:val="0075A2"/>
              </w:rPr>
              <w:t>,00</w:t>
            </w:r>
          </w:p>
        </w:tc>
      </w:tr>
      <w:tr w:rsidR="007B1B48" w:rsidTr="007B1B4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1B48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48" w:rsidRDefault="007B1B48" w:rsidP="009739D9">
            <w:pPr>
              <w:rPr>
                <w:color w:val="0075A2"/>
              </w:rPr>
            </w:pPr>
            <w:r>
              <w:rPr>
                <w:color w:val="0075A2"/>
              </w:rPr>
              <w:t>Rekonstrukcija di</w:t>
            </w:r>
            <w:r w:rsidR="009739D9">
              <w:rPr>
                <w:color w:val="0075A2"/>
              </w:rPr>
              <w:t xml:space="preserve">onice </w:t>
            </w:r>
            <w:r>
              <w:rPr>
                <w:color w:val="0075A2"/>
              </w:rPr>
              <w:t>ceste</w:t>
            </w:r>
            <w:r w:rsidR="009739D9">
              <w:rPr>
                <w:color w:val="0075A2"/>
              </w:rPr>
              <w:t xml:space="preserve"> od </w:t>
            </w:r>
            <w:proofErr w:type="spellStart"/>
            <w:r w:rsidR="009739D9">
              <w:rPr>
                <w:color w:val="0075A2"/>
              </w:rPr>
              <w:t>Mikluševaca</w:t>
            </w:r>
            <w:proofErr w:type="spellEnd"/>
            <w:r w:rsidR="009739D9">
              <w:rPr>
                <w:color w:val="0075A2"/>
              </w:rPr>
              <w:t xml:space="preserve"> do </w:t>
            </w:r>
            <w:proofErr w:type="spellStart"/>
            <w:r w:rsidR="009739D9">
              <w:rPr>
                <w:color w:val="0075A2"/>
              </w:rPr>
              <w:t>Čakovaca</w:t>
            </w:r>
            <w:proofErr w:type="spellEnd"/>
            <w:r>
              <w:rPr>
                <w:color w:val="0075A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184D97" w:rsidP="00D812F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</w:t>
            </w:r>
            <w:r w:rsidR="007B06F0">
              <w:rPr>
                <w:color w:val="0075A2"/>
              </w:rPr>
              <w:t>1</w:t>
            </w:r>
            <w:r w:rsidR="00D812F0">
              <w:rPr>
                <w:color w:val="0075A2"/>
              </w:rPr>
              <w:t>20</w:t>
            </w:r>
            <w:r>
              <w:rPr>
                <w:color w:val="0075A2"/>
              </w:rPr>
              <w:t>.</w:t>
            </w:r>
            <w:r w:rsidR="00D812F0">
              <w:rPr>
                <w:color w:val="0075A2"/>
              </w:rPr>
              <w:t>000</w:t>
            </w:r>
            <w:r>
              <w:rPr>
                <w:color w:val="0075A2"/>
              </w:rPr>
              <w:t>,</w:t>
            </w:r>
            <w:r w:rsidR="00D812F0">
              <w:rPr>
                <w:color w:val="0075A2"/>
              </w:rPr>
              <w:t>00</w:t>
            </w:r>
          </w:p>
        </w:tc>
      </w:tr>
      <w:tr w:rsidR="007B1B48" w:rsidTr="007B1B48">
        <w:trPr>
          <w:trHeight w:val="3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1B48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48" w:rsidRDefault="007B1B48" w:rsidP="00E443A0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06F0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62.</w:t>
            </w:r>
            <w:r w:rsidR="00D812F0">
              <w:rPr>
                <w:color w:val="0075A2"/>
              </w:rPr>
              <w:t>400</w:t>
            </w:r>
            <w:r>
              <w:rPr>
                <w:color w:val="0075A2"/>
              </w:rPr>
              <w:t>,</w:t>
            </w:r>
            <w:r w:rsidR="00D812F0">
              <w:rPr>
                <w:color w:val="0075A2"/>
              </w:rPr>
              <w:t>00</w:t>
            </w:r>
          </w:p>
        </w:tc>
      </w:tr>
      <w:tr w:rsidR="007B1B48" w:rsidTr="007B1B48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1B48" w:rsidP="00AC39A7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48" w:rsidRDefault="007B06F0" w:rsidP="00AC39A7">
            <w:pPr>
              <w:jc w:val="right"/>
              <w:rPr>
                <w:rFonts w:ascii="Arial Black" w:hAnsi="Arial Black"/>
                <w:b/>
                <w:color w:val="0075A2"/>
              </w:rPr>
            </w:pPr>
            <w:r w:rsidRPr="007B06F0">
              <w:rPr>
                <w:rFonts w:ascii="Arial Black" w:hAnsi="Arial Black"/>
                <w:b/>
                <w:color w:val="0075A2"/>
              </w:rPr>
              <w:t>3.1</w:t>
            </w:r>
            <w:r w:rsidR="00D812F0">
              <w:rPr>
                <w:rFonts w:ascii="Arial Black" w:hAnsi="Arial Black"/>
                <w:b/>
                <w:color w:val="0075A2"/>
              </w:rPr>
              <w:t>82</w:t>
            </w:r>
            <w:r w:rsidRPr="007B06F0">
              <w:rPr>
                <w:rFonts w:ascii="Arial Black" w:hAnsi="Arial Black"/>
                <w:b/>
                <w:color w:val="0075A2"/>
              </w:rPr>
              <w:t>.</w:t>
            </w:r>
            <w:r w:rsidR="00D812F0">
              <w:rPr>
                <w:rFonts w:ascii="Arial Black" w:hAnsi="Arial Black"/>
                <w:b/>
                <w:color w:val="0075A2"/>
              </w:rPr>
              <w:t>400</w:t>
            </w:r>
            <w:r w:rsidRPr="007B06F0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E443A0" w:rsidRDefault="00E443A0" w:rsidP="00E443A0"/>
    <w:p w:rsidR="00E443A0" w:rsidRDefault="00E443A0" w:rsidP="00E443A0">
      <w:pPr>
        <w:rPr>
          <w:b/>
        </w:rPr>
      </w:pPr>
      <w:r>
        <w:rPr>
          <w:b/>
        </w:rPr>
        <w:t>3.3. Ostali izdaci vezani uz ulaganja u rekonstrukciju i izgradnju ŽC i LC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br.5. prikazuje plan rashoda po toj osnovi.</w:t>
      </w:r>
    </w:p>
    <w:p w:rsidR="00E443A0" w:rsidRDefault="00E443A0" w:rsidP="00E443A0"/>
    <w:p w:rsidR="00E443A0" w:rsidRDefault="00E443A0" w:rsidP="00E443A0">
      <w:r>
        <w:t>Tablica br.5. Pregled ostalih rashoda vezanih uz ulaganja u rekonstrukciju</w:t>
      </w:r>
    </w:p>
    <w:p w:rsidR="00E443A0" w:rsidRDefault="00E443A0" w:rsidP="00E443A0">
      <w:r>
        <w:tab/>
        <w:t xml:space="preserve">          i izgradnju ŽC i LC u 202</w:t>
      </w:r>
      <w:r w:rsidR="0012546B">
        <w:t>2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13"/>
        <w:gridCol w:w="1956"/>
      </w:tblGrid>
      <w:tr w:rsidR="00E443A0" w:rsidTr="00E443A0">
        <w:trPr>
          <w:trHeight w:val="389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Red.br.</w:t>
            </w:r>
          </w:p>
        </w:tc>
        <w:tc>
          <w:tcPr>
            <w:tcW w:w="5413" w:type="dxa"/>
            <w:shd w:val="clear" w:color="auto" w:fill="C4E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Opis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Iznos u kn</w:t>
            </w:r>
          </w:p>
        </w:tc>
      </w:tr>
      <w:tr w:rsidR="00E443A0" w:rsidTr="00E443A0">
        <w:trPr>
          <w:trHeight w:val="1327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1.</w:t>
            </w:r>
          </w:p>
        </w:tc>
        <w:tc>
          <w:tcPr>
            <w:tcW w:w="5413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 xml:space="preserve">OSTALO-POSEBNI UVJETI GRAĐENJA, </w:t>
            </w:r>
            <w:proofErr w:type="spellStart"/>
            <w:r>
              <w:rPr>
                <w:b/>
                <w:color w:val="04617B"/>
                <w:szCs w:val="20"/>
              </w:rPr>
              <w:t>LOK.DOZVOLE</w:t>
            </w:r>
            <w:proofErr w:type="spellEnd"/>
            <w:r>
              <w:rPr>
                <w:b/>
                <w:color w:val="04617B"/>
                <w:szCs w:val="20"/>
              </w:rPr>
              <w:t xml:space="preserve"> ISL.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12546B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="00E443A0">
              <w:rPr>
                <w:b/>
                <w:color w:val="04617B"/>
                <w:szCs w:val="20"/>
              </w:rPr>
              <w:t>0.000,00</w:t>
            </w:r>
          </w:p>
        </w:tc>
      </w:tr>
      <w:tr w:rsidR="00E443A0" w:rsidTr="00E443A0">
        <w:trPr>
          <w:trHeight w:val="389"/>
        </w:trPr>
        <w:tc>
          <w:tcPr>
            <w:tcW w:w="6230" w:type="dxa"/>
            <w:gridSpan w:val="2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SVEUKUPNO</w:t>
            </w:r>
          </w:p>
        </w:tc>
        <w:tc>
          <w:tcPr>
            <w:tcW w:w="1956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12546B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="00E443A0">
              <w:rPr>
                <w:b/>
                <w:color w:val="04617B"/>
                <w:szCs w:val="20"/>
              </w:rPr>
              <w:t>0.000,00</w:t>
            </w:r>
          </w:p>
        </w:tc>
      </w:tr>
    </w:tbl>
    <w:p w:rsidR="0012546B" w:rsidRDefault="0012546B" w:rsidP="00E443A0">
      <w:pPr>
        <w:rPr>
          <w:b/>
        </w:rPr>
      </w:pPr>
    </w:p>
    <w:p w:rsidR="0012546B" w:rsidRDefault="0012546B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C45FB2" w:rsidRDefault="00C45FB2" w:rsidP="00E443A0">
      <w:pPr>
        <w:rPr>
          <w:b/>
        </w:rPr>
      </w:pPr>
    </w:p>
    <w:p w:rsidR="000520F2" w:rsidRDefault="000520F2" w:rsidP="000520F2">
      <w:pPr>
        <w:jc w:val="both"/>
      </w:pPr>
      <w:r w:rsidRPr="007D357F">
        <w:t>Tablica br.</w:t>
      </w:r>
      <w:r>
        <w:t>6</w:t>
      </w:r>
      <w:r w:rsidRPr="007D357F">
        <w:t>. Pregled ulaganja u izvanredno održavanje županijskih i lokalnih cesta u 20</w:t>
      </w:r>
      <w:r>
        <w:t>2</w:t>
      </w:r>
      <w:r w:rsidR="0012546B">
        <w:t>2</w:t>
      </w:r>
      <w:r w:rsidRPr="007D357F">
        <w:t>.g.</w:t>
      </w:r>
    </w:p>
    <w:p w:rsidR="00C45FB2" w:rsidRDefault="00C45FB2" w:rsidP="000520F2">
      <w:pPr>
        <w:jc w:val="both"/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434079" w:rsidTr="002508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434079" w:rsidTr="0025082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Pr="007A68AE" w:rsidRDefault="007A68AE" w:rsidP="0025082D">
            <w:pPr>
              <w:jc w:val="center"/>
              <w:rPr>
                <w:b/>
                <w:bCs/>
                <w:color w:val="0075A2"/>
              </w:rPr>
            </w:pPr>
            <w:r w:rsidRPr="007A68AE">
              <w:rPr>
                <w:b/>
                <w:bCs/>
                <w:color w:val="0075A2"/>
              </w:rPr>
              <w:t>ŽC</w:t>
            </w:r>
            <w:r>
              <w:rPr>
                <w:b/>
                <w:bCs/>
                <w:color w:val="0075A2"/>
              </w:rPr>
              <w:t xml:space="preserve"> 4173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7A68AE" w:rsidP="0025082D">
            <w:pPr>
              <w:rPr>
                <w:b/>
                <w:color w:val="0075A2"/>
              </w:rPr>
            </w:pPr>
            <w:proofErr w:type="spellStart"/>
            <w:r w:rsidRPr="007A68AE">
              <w:rPr>
                <w:b/>
                <w:color w:val="0075A2"/>
              </w:rPr>
              <w:t>A.G</w:t>
            </w:r>
            <w:proofErr w:type="spellEnd"/>
            <w:r w:rsidRPr="007A68AE">
              <w:rPr>
                <w:b/>
                <w:color w:val="0075A2"/>
              </w:rPr>
              <w:t xml:space="preserve">. Grada Vukovara - </w:t>
            </w:r>
            <w:proofErr w:type="spellStart"/>
            <w:r w:rsidRPr="007A68AE">
              <w:rPr>
                <w:b/>
                <w:color w:val="0075A2"/>
              </w:rPr>
              <w:t>Tovarnik</w:t>
            </w:r>
            <w:proofErr w:type="spellEnd"/>
            <w:r w:rsidRPr="007A68AE">
              <w:rPr>
                <w:b/>
                <w:color w:val="0075A2"/>
              </w:rPr>
              <w:t xml:space="preserve"> (D46)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right"/>
              <w:rPr>
                <w:b/>
                <w:color w:val="0075A2"/>
              </w:rPr>
            </w:pPr>
          </w:p>
        </w:tc>
      </w:tr>
      <w:tr w:rsidR="00434079" w:rsidTr="0025082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7A68AE" w:rsidP="0025082D">
            <w:pPr>
              <w:rPr>
                <w:color w:val="0075A2"/>
              </w:rPr>
            </w:pPr>
            <w:r>
              <w:rPr>
                <w:color w:val="0075A2"/>
              </w:rPr>
              <w:t>Prometni elaborat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7A68AE" w:rsidP="0025082D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226.250,00</w:t>
            </w:r>
          </w:p>
        </w:tc>
      </w:tr>
      <w:tr w:rsidR="00434079" w:rsidTr="0025082D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7A68AE" w:rsidP="0025082D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7A68AE" w:rsidP="0025082D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226.250,00</w:t>
            </w:r>
          </w:p>
        </w:tc>
      </w:tr>
    </w:tbl>
    <w:p w:rsidR="00E443A0" w:rsidRDefault="00E443A0" w:rsidP="00E443A0">
      <w:r>
        <w:rPr>
          <w:b/>
        </w:rPr>
        <w:lastRenderedPageBreak/>
        <w:t>5.</w:t>
      </w:r>
      <w:r>
        <w:rPr>
          <w:b/>
        </w:rPr>
        <w:tab/>
        <w:t>ULAGANJA U REDOVNO ODRŽAVANJE ŽUPANIJSKIH I LOKALNIH CESTA NA PODRUČJU VUKOVARSKO - SRIJEMSKE ŽUPANIJE</w:t>
      </w:r>
    </w:p>
    <w:p w:rsidR="00E443A0" w:rsidRDefault="00E443A0" w:rsidP="00E443A0">
      <w:pPr>
        <w:rPr>
          <w:b/>
          <w:bCs/>
          <w:i/>
        </w:rPr>
      </w:pPr>
    </w:p>
    <w:p w:rsidR="00C45FB2" w:rsidRDefault="00C45FB2" w:rsidP="00E443A0">
      <w:pPr>
        <w:rPr>
          <w:b/>
          <w:bCs/>
          <w:i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E443A0" w:rsidRDefault="00E443A0" w:rsidP="00E443A0">
      <w:pPr>
        <w:rPr>
          <w:bCs/>
        </w:rPr>
      </w:pPr>
    </w:p>
    <w:p w:rsidR="00C45FB2" w:rsidRDefault="00C45FB2" w:rsidP="00E443A0">
      <w:pPr>
        <w:rPr>
          <w:bCs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 i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12546B" w:rsidRDefault="0012546B" w:rsidP="00E443A0">
      <w:pPr>
        <w:rPr>
          <w:bCs/>
        </w:rPr>
      </w:pPr>
    </w:p>
    <w:p w:rsidR="00E443A0" w:rsidRDefault="00E443A0" w:rsidP="00E443A0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43A0" w:rsidRDefault="00E443A0" w:rsidP="00E443A0">
      <w:pPr>
        <w:rPr>
          <w:b/>
          <w:bCs/>
        </w:rPr>
      </w:pPr>
    </w:p>
    <w:p w:rsidR="00E443A0" w:rsidRDefault="00E443A0" w:rsidP="00E443A0">
      <w:pPr>
        <w:jc w:val="both"/>
      </w:pPr>
      <w:r>
        <w:rPr>
          <w:bCs/>
        </w:rPr>
        <w:t>U 202</w:t>
      </w:r>
      <w:r w:rsidR="0012546B">
        <w:rPr>
          <w:bCs/>
        </w:rPr>
        <w:t>2</w:t>
      </w:r>
      <w:r>
        <w:rPr>
          <w:bCs/>
        </w:rPr>
        <w:t xml:space="preserve">. godini planirani iznos redovnog održavanja županijskih i lokalnih cesta je  </w:t>
      </w:r>
      <w:r w:rsidRPr="004D6FB0">
        <w:rPr>
          <w:bCs/>
        </w:rPr>
        <w:t>15.</w:t>
      </w:r>
      <w:r w:rsidR="00C45FB2" w:rsidRPr="004D6FB0">
        <w:rPr>
          <w:bCs/>
        </w:rPr>
        <w:t>630</w:t>
      </w:r>
      <w:r w:rsidRPr="004D6FB0">
        <w:rPr>
          <w:bCs/>
        </w:rPr>
        <w:t>.000 kuna. Pregled ulaganja dan je u tablici br.7.</w:t>
      </w:r>
      <w:r w:rsidRPr="004D6FB0">
        <w:br/>
      </w:r>
    </w:p>
    <w:p w:rsidR="00E443A0" w:rsidRDefault="00E443A0" w:rsidP="00E443A0">
      <w:r>
        <w:t>Tablica br.7. Pregled ulaganja u redovno održavanje županijskih i lokalnih cesta u 202</w:t>
      </w:r>
      <w:r w:rsidR="0012546B">
        <w:t>2</w:t>
      </w:r>
      <w:r>
        <w:t>.g.</w:t>
      </w:r>
    </w:p>
    <w:p w:rsidR="00E443A0" w:rsidRDefault="00E443A0" w:rsidP="00E443A0">
      <w:pPr>
        <w:rPr>
          <w:b/>
          <w:bCs/>
          <w:i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2948"/>
      </w:tblGrid>
      <w:tr w:rsidR="00E443A0" w:rsidTr="00E443A0">
        <w:tc>
          <w:tcPr>
            <w:tcW w:w="552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</w:pPr>
            <w:r>
              <w:rPr>
                <w:rFonts w:ascii="Arial" w:hAnsi="Arial" w:cs="Arial"/>
                <w:b w:val="0"/>
                <w:bCs w:val="0"/>
                <w:i/>
                <w:color w:val="0075A2"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948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75A2"/>
                <w:sz w:val="20"/>
                <w:szCs w:val="20"/>
                <w:lang w:eastAsia="en-US"/>
              </w:rPr>
              <w:t>Plan</w:t>
            </w:r>
          </w:p>
        </w:tc>
      </w:tr>
      <w:tr w:rsidR="00E443A0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14.110.000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 xml:space="preserve">Sol 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800.000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2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4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70</w:t>
            </w: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right"/>
              <w:rPr>
                <w:rFonts w:ascii="Arial Black" w:hAnsi="Arial Black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 Black" w:hAnsi="Arial Black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948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15.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630</w:t>
            </w: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.000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,00</w:t>
            </w:r>
          </w:p>
        </w:tc>
      </w:tr>
    </w:tbl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br.8.. 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</w:pPr>
      <w:r>
        <w:t xml:space="preserve">Tablica br.8.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12546B">
        <w:t>2</w:t>
      </w:r>
      <w:r>
        <w:t>.g.</w:t>
      </w:r>
    </w:p>
    <w:p w:rsidR="00E443A0" w:rsidRDefault="00E443A0" w:rsidP="00E443A0"/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E443A0" w:rsidTr="00E443A0">
        <w:tc>
          <w:tcPr>
            <w:tcW w:w="426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ULAGANJE U REDOVNO ODRŽAVANJE U 20</w:t>
            </w:r>
            <w:r w:rsidR="00881D80">
              <w:rPr>
                <w:b/>
                <w:bCs/>
                <w:color w:val="0075A2"/>
              </w:rPr>
              <w:t>20</w:t>
            </w:r>
            <w:r>
              <w:rPr>
                <w:b/>
                <w:bCs/>
                <w:color w:val="0075A2"/>
              </w:rPr>
              <w:t>.G.</w:t>
            </w:r>
          </w:p>
        </w:tc>
        <w:tc>
          <w:tcPr>
            <w:tcW w:w="426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E443A0" w:rsidTr="00E443A0">
        <w:tc>
          <w:tcPr>
            <w:tcW w:w="426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LOKALNE CESTE (22%)</w:t>
            </w:r>
          </w:p>
        </w:tc>
        <w:tc>
          <w:tcPr>
            <w:tcW w:w="426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C31F34" w:rsidRDefault="00E443A0" w:rsidP="00E443A0">
            <w:pPr>
              <w:jc w:val="right"/>
              <w:rPr>
                <w:b/>
                <w:color w:val="4BACC6" w:themeColor="accent5"/>
              </w:rPr>
            </w:pPr>
            <w:r w:rsidRPr="00C31F34">
              <w:rPr>
                <w:b/>
                <w:color w:val="4BACC6" w:themeColor="accent5"/>
              </w:rPr>
              <w:t>3.4</w:t>
            </w:r>
            <w:r w:rsidR="00C45FB2">
              <w:rPr>
                <w:b/>
                <w:color w:val="4BACC6" w:themeColor="accent5"/>
              </w:rPr>
              <w:t>38</w:t>
            </w:r>
            <w:r w:rsidRPr="00C31F34">
              <w:rPr>
                <w:b/>
                <w:color w:val="4BACC6" w:themeColor="accent5"/>
              </w:rPr>
              <w:t>.</w:t>
            </w:r>
            <w:r w:rsidR="00C45FB2">
              <w:rPr>
                <w:b/>
                <w:color w:val="4BACC6" w:themeColor="accent5"/>
              </w:rPr>
              <w:t>600</w:t>
            </w:r>
            <w:r w:rsidRPr="00C31F34">
              <w:rPr>
                <w:b/>
                <w:color w:val="4BACC6" w:themeColor="accent5"/>
              </w:rPr>
              <w:t>,00</w:t>
            </w:r>
          </w:p>
        </w:tc>
      </w:tr>
      <w:tr w:rsidR="00E443A0" w:rsidTr="00E443A0">
        <w:tc>
          <w:tcPr>
            <w:tcW w:w="4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ŽUPANIJSKE CESTE (78%)</w:t>
            </w:r>
          </w:p>
        </w:tc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C31F34" w:rsidRDefault="00E443A0" w:rsidP="00E443A0">
            <w:pPr>
              <w:jc w:val="right"/>
              <w:rPr>
                <w:b/>
                <w:color w:val="4BACC6" w:themeColor="accent5"/>
              </w:rPr>
            </w:pPr>
            <w:r w:rsidRPr="00C31F34">
              <w:rPr>
                <w:b/>
                <w:color w:val="4BACC6" w:themeColor="accent5"/>
              </w:rPr>
              <w:t>12.1</w:t>
            </w:r>
            <w:r w:rsidR="00C45FB2">
              <w:rPr>
                <w:b/>
                <w:color w:val="4BACC6" w:themeColor="accent5"/>
              </w:rPr>
              <w:t>91</w:t>
            </w:r>
            <w:r w:rsidRPr="00C31F34">
              <w:rPr>
                <w:b/>
                <w:color w:val="4BACC6" w:themeColor="accent5"/>
              </w:rPr>
              <w:t>.</w:t>
            </w:r>
            <w:r w:rsidR="00C45FB2">
              <w:rPr>
                <w:b/>
                <w:color w:val="4BACC6" w:themeColor="accent5"/>
              </w:rPr>
              <w:t>400</w:t>
            </w:r>
            <w:r w:rsidRPr="00C31F34">
              <w:rPr>
                <w:b/>
                <w:color w:val="4BACC6" w:themeColor="accent5"/>
              </w:rPr>
              <w:t>,00</w:t>
            </w:r>
          </w:p>
        </w:tc>
      </w:tr>
      <w:tr w:rsidR="00E443A0" w:rsidTr="00E443A0">
        <w:tc>
          <w:tcPr>
            <w:tcW w:w="4264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SVEUKUPNO</w:t>
            </w:r>
          </w:p>
        </w:tc>
        <w:tc>
          <w:tcPr>
            <w:tcW w:w="4265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3164B" w:rsidRDefault="00E443A0" w:rsidP="00E443A0">
            <w:pPr>
              <w:jc w:val="right"/>
              <w:rPr>
                <w:b/>
                <w:color w:val="948A54" w:themeColor="background2" w:themeShade="80"/>
              </w:rPr>
            </w:pP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15.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630</w:t>
            </w: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.000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,00</w:t>
            </w:r>
          </w:p>
        </w:tc>
      </w:tr>
    </w:tbl>
    <w:p w:rsidR="00E443A0" w:rsidRDefault="00E443A0" w:rsidP="00E443A0">
      <w:pPr>
        <w:rPr>
          <w:color w:val="FF0000"/>
        </w:rPr>
      </w:pPr>
    </w:p>
    <w:p w:rsidR="00E443A0" w:rsidRDefault="00E443A0" w:rsidP="00E443A0">
      <w:pPr>
        <w:rPr>
          <w:b/>
          <w:bCs/>
          <w:iCs/>
        </w:rPr>
      </w:pPr>
    </w:p>
    <w:p w:rsidR="001D31F0" w:rsidRDefault="001D31F0" w:rsidP="001D31F0">
      <w:pPr>
        <w:rPr>
          <w:b/>
          <w:bCs/>
          <w:iCs/>
        </w:rPr>
      </w:pPr>
      <w:r>
        <w:rPr>
          <w:b/>
          <w:bCs/>
          <w:iCs/>
        </w:rPr>
        <w:lastRenderedPageBreak/>
        <w:t>6. FINANCIRANJE NERAZVRSTANIH CESTA</w:t>
      </w:r>
    </w:p>
    <w:p w:rsidR="001D31F0" w:rsidRDefault="001D31F0" w:rsidP="001D31F0">
      <w:pPr>
        <w:rPr>
          <w:b/>
          <w:bCs/>
          <w:iCs/>
          <w:color w:val="FF0000"/>
        </w:rPr>
      </w:pPr>
    </w:p>
    <w:p w:rsidR="00E443A0" w:rsidRDefault="00E443A0" w:rsidP="00E443A0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43A0" w:rsidRPr="00AA2624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43A0" w:rsidRDefault="00E443A0" w:rsidP="00E443A0">
      <w:pPr>
        <w:jc w:val="both"/>
      </w:pPr>
    </w:p>
    <w:p w:rsidR="00E443A0" w:rsidRDefault="00B92F6D" w:rsidP="00E443A0">
      <w:pPr>
        <w:rPr>
          <w:bCs/>
          <w:iCs/>
        </w:rPr>
      </w:pPr>
      <w:r>
        <w:rPr>
          <w:bCs/>
          <w:iCs/>
        </w:rPr>
        <w:t>Tablica br.9</w:t>
      </w:r>
      <w:r w:rsidR="00E443A0">
        <w:rPr>
          <w:bCs/>
          <w:iCs/>
        </w:rPr>
        <w:t xml:space="preserve">. Pregled ulaganja u cestovnu infrastrukturu temeljem prijenosa "velikim </w:t>
      </w:r>
      <w:r w:rsidR="00E443A0">
        <w:rPr>
          <w:bCs/>
          <w:iCs/>
        </w:rPr>
        <w:tab/>
      </w:r>
      <w:r w:rsidR="00E443A0">
        <w:rPr>
          <w:bCs/>
          <w:iCs/>
        </w:rPr>
        <w:tab/>
        <w:t>gradovima" u 202</w:t>
      </w:r>
      <w:r w:rsidR="00E43E0B">
        <w:rPr>
          <w:bCs/>
          <w:iCs/>
        </w:rPr>
        <w:t>2</w:t>
      </w:r>
      <w:r w:rsidR="00E443A0">
        <w:rPr>
          <w:bCs/>
          <w:iCs/>
        </w:rPr>
        <w:t>.g.</w:t>
      </w:r>
    </w:p>
    <w:p w:rsidR="00E443A0" w:rsidRDefault="00E443A0" w:rsidP="00E443A0">
      <w:r>
        <w:rPr>
          <w:bCs/>
          <w:iCs/>
        </w:rPr>
        <w:tab/>
      </w: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394"/>
        <w:gridCol w:w="1900"/>
      </w:tblGrid>
      <w:tr w:rsidR="00E443A0" w:rsidTr="00E443A0">
        <w:tc>
          <w:tcPr>
            <w:tcW w:w="223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</w:t>
            </w:r>
          </w:p>
        </w:tc>
        <w:tc>
          <w:tcPr>
            <w:tcW w:w="439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DIONICA/OBJEKT</w:t>
            </w:r>
          </w:p>
        </w:tc>
        <w:tc>
          <w:tcPr>
            <w:tcW w:w="1900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IZNOS U KN</w:t>
            </w:r>
          </w:p>
        </w:tc>
      </w:tr>
      <w:tr w:rsidR="00E443A0" w:rsidTr="00E443A0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 VINKOVCI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iCs/>
                <w:color w:val="0075A2"/>
              </w:rPr>
            </w:pPr>
            <w:r>
              <w:rPr>
                <w:iCs/>
                <w:color w:val="0075A2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</w:t>
            </w:r>
            <w:r w:rsidR="0012546B">
              <w:rPr>
                <w:b/>
                <w:bCs/>
                <w:iCs/>
                <w:color w:val="0075A2"/>
              </w:rPr>
              <w:t>846</w:t>
            </w:r>
            <w:r>
              <w:rPr>
                <w:b/>
                <w:bCs/>
                <w:iCs/>
                <w:color w:val="0075A2"/>
              </w:rPr>
              <w:t>.</w:t>
            </w:r>
            <w:r w:rsidR="0012546B">
              <w:rPr>
                <w:b/>
                <w:bCs/>
                <w:iCs/>
                <w:color w:val="0075A2"/>
              </w:rPr>
              <w:t>8</w:t>
            </w:r>
            <w:r>
              <w:rPr>
                <w:b/>
                <w:bCs/>
                <w:iCs/>
                <w:color w:val="0075A2"/>
              </w:rPr>
              <w:t>00</w:t>
            </w:r>
            <w:r w:rsidR="00881D80">
              <w:rPr>
                <w:b/>
                <w:bCs/>
                <w:iCs/>
                <w:color w:val="0075A2"/>
              </w:rPr>
              <w:t>,00</w:t>
            </w:r>
          </w:p>
        </w:tc>
      </w:tr>
      <w:tr w:rsidR="00E443A0" w:rsidTr="00E443A0">
        <w:tc>
          <w:tcPr>
            <w:tcW w:w="223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 VUKOVAR</w:t>
            </w:r>
          </w:p>
        </w:tc>
        <w:tc>
          <w:tcPr>
            <w:tcW w:w="439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iCs/>
                <w:color w:val="0075A2"/>
              </w:rPr>
            </w:pPr>
            <w:r>
              <w:rPr>
                <w:iCs/>
                <w:color w:val="0075A2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</w:t>
            </w:r>
            <w:r w:rsidR="0012546B">
              <w:rPr>
                <w:b/>
                <w:bCs/>
                <w:iCs/>
                <w:color w:val="0075A2"/>
              </w:rPr>
              <w:t>504</w:t>
            </w:r>
            <w:r>
              <w:rPr>
                <w:b/>
                <w:bCs/>
                <w:iCs/>
                <w:color w:val="0075A2"/>
              </w:rPr>
              <w:t>.</w:t>
            </w:r>
            <w:r w:rsidR="0012546B">
              <w:rPr>
                <w:b/>
                <w:bCs/>
                <w:iCs/>
                <w:color w:val="0075A2"/>
              </w:rPr>
              <w:t>8</w:t>
            </w:r>
            <w:r>
              <w:rPr>
                <w:b/>
                <w:bCs/>
                <w:iCs/>
                <w:color w:val="0075A2"/>
              </w:rPr>
              <w:t>00</w:t>
            </w:r>
            <w:r w:rsidR="00881D80">
              <w:rPr>
                <w:b/>
                <w:bCs/>
                <w:iCs/>
                <w:color w:val="0075A2"/>
              </w:rPr>
              <w:t>,00</w:t>
            </w:r>
          </w:p>
        </w:tc>
      </w:tr>
      <w:tr w:rsidR="00E443A0" w:rsidTr="00E443A0">
        <w:tc>
          <w:tcPr>
            <w:tcW w:w="6629" w:type="dxa"/>
            <w:gridSpan w:val="2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SVEUKUPNO</w:t>
            </w:r>
          </w:p>
        </w:tc>
        <w:tc>
          <w:tcPr>
            <w:tcW w:w="1900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3.</w:t>
            </w:r>
            <w:r w:rsidR="0012546B">
              <w:rPr>
                <w:rFonts w:ascii="Arial Black" w:hAnsi="Arial Black"/>
                <w:b/>
                <w:bCs/>
                <w:iCs/>
                <w:color w:val="0075A2"/>
              </w:rPr>
              <w:t>351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.</w:t>
            </w:r>
            <w:r w:rsidR="0012546B">
              <w:rPr>
                <w:rFonts w:ascii="Arial Black" w:hAnsi="Arial Black"/>
                <w:b/>
                <w:bCs/>
                <w:iCs/>
                <w:color w:val="0075A2"/>
              </w:rPr>
              <w:t>6</w:t>
            </w:r>
            <w:r w:rsidR="00C45FB2">
              <w:rPr>
                <w:rFonts w:ascii="Arial Black" w:hAnsi="Arial Black"/>
                <w:b/>
                <w:bCs/>
                <w:iCs/>
                <w:color w:val="0075A2"/>
              </w:rPr>
              <w:t>00</w:t>
            </w:r>
            <w:r w:rsidR="00881D80">
              <w:rPr>
                <w:rFonts w:ascii="Arial Black" w:hAnsi="Arial Black"/>
                <w:b/>
                <w:bCs/>
                <w:iCs/>
                <w:color w:val="0075A2"/>
              </w:rPr>
              <w:t>,00</w:t>
            </w:r>
          </w:p>
        </w:tc>
      </w:tr>
    </w:tbl>
    <w:p w:rsidR="00E443A0" w:rsidRDefault="00E443A0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</w:p>
    <w:p w:rsidR="007C244A" w:rsidRDefault="007C244A" w:rsidP="00E443A0">
      <w:pPr>
        <w:rPr>
          <w:b/>
          <w:bCs/>
          <w:iCs/>
        </w:rPr>
      </w:pPr>
    </w:p>
    <w:p w:rsidR="007C244A" w:rsidRDefault="007C244A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  <w:r>
        <w:rPr>
          <w:b/>
          <w:bCs/>
          <w:iCs/>
        </w:rPr>
        <w:lastRenderedPageBreak/>
        <w:t>7. SAŽETAK</w:t>
      </w:r>
    </w:p>
    <w:p w:rsidR="00E443A0" w:rsidRPr="00452E09" w:rsidRDefault="00E443A0" w:rsidP="00E443A0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43A0" w:rsidRPr="007C244A" w:rsidRDefault="00E443A0" w:rsidP="00E443A0">
      <w:pPr>
        <w:jc w:val="both"/>
        <w:rPr>
          <w:bCs/>
          <w:iCs/>
        </w:rPr>
      </w:pPr>
      <w:r w:rsidRPr="007C244A">
        <w:rPr>
          <w:bCs/>
          <w:iCs/>
        </w:rPr>
        <w:t xml:space="preserve">Ukupni prihodi i primici prema financijskom planu Uprave za ceste Vukovarsko </w:t>
      </w:r>
      <w:r w:rsidRPr="00E43E0B">
        <w:rPr>
          <w:bCs/>
          <w:iCs/>
        </w:rPr>
        <w:t>srijemske županije u 202</w:t>
      </w:r>
      <w:r w:rsidR="00AC39A7" w:rsidRPr="00E43E0B">
        <w:rPr>
          <w:bCs/>
          <w:iCs/>
        </w:rPr>
        <w:t>2</w:t>
      </w:r>
      <w:r w:rsidRPr="00E43E0B">
        <w:rPr>
          <w:bCs/>
          <w:iCs/>
        </w:rPr>
        <w:t xml:space="preserve">. godini iznose </w:t>
      </w:r>
      <w:r w:rsidR="007C244A" w:rsidRPr="00E43E0B">
        <w:rPr>
          <w:bCs/>
          <w:iCs/>
        </w:rPr>
        <w:t>3</w:t>
      </w:r>
      <w:r w:rsidR="00E43E0B" w:rsidRPr="00E43E0B">
        <w:rPr>
          <w:bCs/>
          <w:iCs/>
        </w:rPr>
        <w:t>4</w:t>
      </w:r>
      <w:r w:rsidRPr="00E43E0B">
        <w:rPr>
          <w:bCs/>
          <w:iCs/>
        </w:rPr>
        <w:t>.</w:t>
      </w:r>
      <w:r w:rsidR="00E43E0B" w:rsidRPr="00E43E0B">
        <w:rPr>
          <w:bCs/>
          <w:iCs/>
        </w:rPr>
        <w:t>449</w:t>
      </w:r>
      <w:r w:rsidRPr="00E43E0B">
        <w:rPr>
          <w:bCs/>
          <w:iCs/>
        </w:rPr>
        <w:t>.</w:t>
      </w:r>
      <w:r w:rsidR="007C244A" w:rsidRPr="00E43E0B">
        <w:rPr>
          <w:bCs/>
          <w:iCs/>
        </w:rPr>
        <w:t>500</w:t>
      </w:r>
      <w:r w:rsidRPr="00E43E0B">
        <w:rPr>
          <w:bCs/>
          <w:iCs/>
        </w:rPr>
        <w:t xml:space="preserve"> kn</w:t>
      </w:r>
      <w:r w:rsidRPr="00664EA3">
        <w:rPr>
          <w:bCs/>
          <w:iCs/>
        </w:rPr>
        <w:t xml:space="preserve">, od toga </w:t>
      </w:r>
      <w:r w:rsidR="007C244A" w:rsidRPr="00664EA3">
        <w:rPr>
          <w:bCs/>
          <w:iCs/>
        </w:rPr>
        <w:t>8</w:t>
      </w:r>
      <w:r w:rsidR="00664EA3" w:rsidRPr="00664EA3">
        <w:rPr>
          <w:bCs/>
          <w:iCs/>
        </w:rPr>
        <w:t>2</w:t>
      </w:r>
      <w:r w:rsidRPr="00664EA3">
        <w:rPr>
          <w:bCs/>
          <w:iCs/>
        </w:rPr>
        <w:t>,</w:t>
      </w:r>
      <w:r w:rsidR="00664EA3" w:rsidRPr="00664EA3">
        <w:rPr>
          <w:bCs/>
          <w:iCs/>
        </w:rPr>
        <w:t>81</w:t>
      </w:r>
      <w:r w:rsidRPr="00664EA3">
        <w:rPr>
          <w:bCs/>
          <w:iCs/>
        </w:rPr>
        <w:t xml:space="preserve">% odnosi se na </w:t>
      </w:r>
      <w:r w:rsidRPr="007C244A">
        <w:rPr>
          <w:bCs/>
          <w:iCs/>
        </w:rPr>
        <w:t>ulaganja u cestovnu infrastrukturu</w:t>
      </w:r>
    </w:p>
    <w:p w:rsidR="00E443A0" w:rsidRPr="007C244A" w:rsidRDefault="00E443A0" w:rsidP="00E443A0">
      <w:pPr>
        <w:rPr>
          <w:bCs/>
          <w:iCs/>
        </w:rPr>
      </w:pPr>
    </w:p>
    <w:p w:rsidR="00E443A0" w:rsidRPr="007C244A" w:rsidRDefault="00E443A0" w:rsidP="00E443A0">
      <w:pPr>
        <w:jc w:val="both"/>
        <w:rPr>
          <w:bCs/>
          <w:iCs/>
        </w:rPr>
      </w:pPr>
      <w:r w:rsidRPr="007C244A">
        <w:rPr>
          <w:bCs/>
          <w:iCs/>
        </w:rPr>
        <w:t>Ulaganja u financiranje nerazvrstanih cesta, građenje, rekonst</w:t>
      </w:r>
      <w:r w:rsidR="00E43E0B">
        <w:rPr>
          <w:bCs/>
          <w:iCs/>
        </w:rPr>
        <w:t>ru</w:t>
      </w:r>
      <w:r w:rsidRPr="007C244A">
        <w:rPr>
          <w:bCs/>
          <w:iCs/>
        </w:rPr>
        <w:t>kciju, redovno i izvanredno održavanje  županijskih i lokalnih cesta u 202</w:t>
      </w:r>
      <w:r w:rsidR="00AC39A7">
        <w:rPr>
          <w:bCs/>
          <w:iCs/>
        </w:rPr>
        <w:t>2</w:t>
      </w:r>
      <w:r w:rsidRPr="007C244A">
        <w:rPr>
          <w:bCs/>
          <w:iCs/>
        </w:rPr>
        <w:t>.g. iznosi:</w:t>
      </w:r>
    </w:p>
    <w:p w:rsidR="00E443A0" w:rsidRPr="007C244A" w:rsidRDefault="00E443A0" w:rsidP="00E443A0">
      <w:pPr>
        <w:rPr>
          <w:b/>
          <w:bCs/>
          <w:iCs/>
        </w:rPr>
      </w:pPr>
    </w:p>
    <w:p w:rsidR="00E443A0" w:rsidRPr="007C244A" w:rsidRDefault="00E443A0" w:rsidP="00E443A0">
      <w:pPr>
        <w:rPr>
          <w:bCs/>
          <w:iCs/>
        </w:rPr>
      </w:pPr>
      <w:r w:rsidRPr="007C244A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E443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6.117.588,00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4D7B1B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3.202.400,00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9.319.988,00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15.</w:t>
            </w:r>
            <w:r w:rsidR="001D31F0"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630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.000</w:t>
            </w:r>
            <w:r w:rsidR="001D31F0"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226.250,00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15.856.250,00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43A0" w:rsidRPr="007C244A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7C244A" w:rsidRDefault="00E443A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3.351.600,00</w:t>
            </w:r>
          </w:p>
        </w:tc>
      </w:tr>
      <w:tr w:rsidR="001D31F0" w:rsidRPr="007C244A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7C244A" w:rsidRDefault="001D31F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7C244A" w:rsidRDefault="001D31F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7C244A" w:rsidRDefault="00E443A0" w:rsidP="00E443A0">
            <w:pPr>
              <w:rPr>
                <w:b/>
                <w:bCs/>
                <w:i/>
                <w:iCs/>
              </w:rPr>
            </w:pPr>
          </w:p>
        </w:tc>
      </w:tr>
      <w:tr w:rsidR="00E443A0" w:rsidRPr="007C244A" w:rsidTr="00E443A0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43A0" w:rsidRPr="007C244A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B37D12" w:rsidP="00E443A0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28.527.838,00</w:t>
            </w:r>
          </w:p>
        </w:tc>
      </w:tr>
    </w:tbl>
    <w:p w:rsidR="00E443A0" w:rsidRPr="007C244A" w:rsidRDefault="00E443A0" w:rsidP="00E443A0">
      <w:pPr>
        <w:ind w:firstLine="708"/>
        <w:rPr>
          <w:b/>
          <w:bCs/>
          <w:i/>
          <w:iCs/>
        </w:rPr>
      </w:pPr>
    </w:p>
    <w:sectPr w:rsidR="00E443A0" w:rsidRPr="007C244A">
      <w:footerReference w:type="default" r:id="rId11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22" w:rsidRDefault="00973822">
      <w:r>
        <w:separator/>
      </w:r>
    </w:p>
  </w:endnote>
  <w:endnote w:type="continuationSeparator" w:id="0">
    <w:p w:rsidR="00973822" w:rsidRDefault="0097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uenst480 B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48" w:rsidRDefault="007B1B48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25610B1B" wp14:editId="16F3C3C2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7B1B48" w:rsidRDefault="007B1B4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5E30A0">
      <w:rPr>
        <w:noProof/>
      </w:rPr>
      <w:t>19</w:t>
    </w:r>
    <w:r>
      <w:fldChar w:fldCharType="end"/>
    </w:r>
  </w:p>
  <w:p w:rsidR="007B1B48" w:rsidRDefault="007B1B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48" w:rsidRDefault="007B1B48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846CCEC" wp14:editId="4F30733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7B1B48" w:rsidRDefault="007B1B4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5E30A0">
      <w:rPr>
        <w:noProof/>
      </w:rPr>
      <w:t>24</w:t>
    </w:r>
    <w:r>
      <w:fldChar w:fldCharType="end"/>
    </w:r>
  </w:p>
  <w:p w:rsidR="007B1B48" w:rsidRDefault="007B1B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22" w:rsidRDefault="00973822">
      <w:r>
        <w:separator/>
      </w:r>
    </w:p>
  </w:footnote>
  <w:footnote w:type="continuationSeparator" w:id="0">
    <w:p w:rsidR="00973822" w:rsidRDefault="0097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0"/>
    <w:rsid w:val="000379F0"/>
    <w:rsid w:val="000520F2"/>
    <w:rsid w:val="000B5599"/>
    <w:rsid w:val="000D0F11"/>
    <w:rsid w:val="0012546B"/>
    <w:rsid w:val="00184D97"/>
    <w:rsid w:val="001D31F0"/>
    <w:rsid w:val="00204669"/>
    <w:rsid w:val="00220C1C"/>
    <w:rsid w:val="0025082D"/>
    <w:rsid w:val="00265426"/>
    <w:rsid w:val="002B347A"/>
    <w:rsid w:val="002D44D8"/>
    <w:rsid w:val="002D5D02"/>
    <w:rsid w:val="002F165A"/>
    <w:rsid w:val="00316CCD"/>
    <w:rsid w:val="0037393E"/>
    <w:rsid w:val="003B0F68"/>
    <w:rsid w:val="00434079"/>
    <w:rsid w:val="00442F29"/>
    <w:rsid w:val="00491F17"/>
    <w:rsid w:val="0049762E"/>
    <w:rsid w:val="004A3A95"/>
    <w:rsid w:val="004C4EC3"/>
    <w:rsid w:val="004D6FB0"/>
    <w:rsid w:val="004D7B1B"/>
    <w:rsid w:val="00567F79"/>
    <w:rsid w:val="005E30A0"/>
    <w:rsid w:val="00660146"/>
    <w:rsid w:val="00664EA3"/>
    <w:rsid w:val="00730DD8"/>
    <w:rsid w:val="007A68AE"/>
    <w:rsid w:val="007B06F0"/>
    <w:rsid w:val="007B1B48"/>
    <w:rsid w:val="007C244A"/>
    <w:rsid w:val="007C521C"/>
    <w:rsid w:val="008465D3"/>
    <w:rsid w:val="00875ABF"/>
    <w:rsid w:val="00876580"/>
    <w:rsid w:val="00881D80"/>
    <w:rsid w:val="00895F04"/>
    <w:rsid w:val="00895F65"/>
    <w:rsid w:val="008B0DD9"/>
    <w:rsid w:val="00973822"/>
    <w:rsid w:val="009739D9"/>
    <w:rsid w:val="00A85866"/>
    <w:rsid w:val="00AC39A7"/>
    <w:rsid w:val="00AC725E"/>
    <w:rsid w:val="00AE3641"/>
    <w:rsid w:val="00B37D12"/>
    <w:rsid w:val="00B92F6D"/>
    <w:rsid w:val="00C028A6"/>
    <w:rsid w:val="00C034CF"/>
    <w:rsid w:val="00C45FB2"/>
    <w:rsid w:val="00CA2FF5"/>
    <w:rsid w:val="00CA4078"/>
    <w:rsid w:val="00CB733E"/>
    <w:rsid w:val="00D81240"/>
    <w:rsid w:val="00D812F0"/>
    <w:rsid w:val="00DE7B0D"/>
    <w:rsid w:val="00E43E0B"/>
    <w:rsid w:val="00E443A0"/>
    <w:rsid w:val="00E67E36"/>
    <w:rsid w:val="00E87B8C"/>
    <w:rsid w:val="00EE5B5C"/>
    <w:rsid w:val="00EF7EE4"/>
    <w:rsid w:val="00F3005D"/>
    <w:rsid w:val="00F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24</Pages>
  <Words>4703</Words>
  <Characters>26813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2021-11-26T15:32:00Z</cp:lastPrinted>
  <dcterms:created xsi:type="dcterms:W3CDTF">2020-12-08T09:47:00Z</dcterms:created>
  <dcterms:modified xsi:type="dcterms:W3CDTF">2021-11-26T15:33:00Z</dcterms:modified>
</cp:coreProperties>
</file>