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D141C2">
        <w:tblPrEx>
          <w:tblCellMar>
            <w:top w:w="0" w:type="dxa"/>
            <w:bottom w:w="0" w:type="dxa"/>
          </w:tblCellMar>
        </w:tblPrEx>
        <w:trPr>
          <w:tblCellSpacing w:w="60" w:type="dxa"/>
        </w:trPr>
        <w:tc>
          <w:tcPr>
            <w:tcW w:w="1200" w:type="pct"/>
            <w:shd w:val="clear" w:color="auto" w:fill="E7F0F9"/>
          </w:tcPr>
          <w:p w:rsidR="00D141C2" w:rsidRDefault="00771681">
            <w:pPr>
              <w:spacing w:after="0" w:line="240" w:lineRule="auto"/>
            </w:pPr>
            <w:r>
              <w:rPr>
                <w:b/>
              </w:rPr>
              <w:t>RKP broj</w:t>
            </w:r>
          </w:p>
        </w:tc>
        <w:tc>
          <w:tcPr>
            <w:tcW w:w="0" w:type="auto"/>
            <w:shd w:val="clear" w:color="auto" w:fill="E7F0F9"/>
          </w:tcPr>
          <w:p w:rsidR="00D141C2" w:rsidRDefault="00771681">
            <w:pPr>
              <w:spacing w:after="0" w:line="240" w:lineRule="auto"/>
            </w:pPr>
            <w:r>
              <w:t>38165</w:t>
            </w:r>
          </w:p>
        </w:tc>
      </w:tr>
      <w:tr w:rsidR="00D141C2">
        <w:tblPrEx>
          <w:tblCellMar>
            <w:top w:w="0" w:type="dxa"/>
            <w:bottom w:w="0" w:type="dxa"/>
          </w:tblCellMar>
        </w:tblPrEx>
        <w:trPr>
          <w:tblCellSpacing w:w="60" w:type="dxa"/>
        </w:trPr>
        <w:tc>
          <w:tcPr>
            <w:tcW w:w="1200" w:type="pct"/>
            <w:shd w:val="clear" w:color="auto" w:fill="E7F0F9"/>
          </w:tcPr>
          <w:p w:rsidR="00D141C2" w:rsidRDefault="00771681">
            <w:pPr>
              <w:spacing w:after="0" w:line="240" w:lineRule="auto"/>
            </w:pPr>
            <w:r>
              <w:rPr>
                <w:b/>
              </w:rPr>
              <w:t>Naziv obveznika</w:t>
            </w:r>
          </w:p>
        </w:tc>
        <w:tc>
          <w:tcPr>
            <w:tcW w:w="0" w:type="auto"/>
            <w:shd w:val="clear" w:color="auto" w:fill="E7F0F9"/>
          </w:tcPr>
          <w:p w:rsidR="00D141C2" w:rsidRDefault="00771681">
            <w:pPr>
              <w:spacing w:after="0" w:line="240" w:lineRule="auto"/>
            </w:pPr>
            <w:r>
              <w:t>UPRAVA ZA CESTE  VUKOVARSKO-SRIJEMSKE ŽUPANIJE</w:t>
            </w:r>
          </w:p>
        </w:tc>
      </w:tr>
      <w:tr w:rsidR="00D141C2">
        <w:tblPrEx>
          <w:tblCellMar>
            <w:top w:w="0" w:type="dxa"/>
            <w:bottom w:w="0" w:type="dxa"/>
          </w:tblCellMar>
        </w:tblPrEx>
        <w:trPr>
          <w:tblCellSpacing w:w="60" w:type="dxa"/>
        </w:trPr>
        <w:tc>
          <w:tcPr>
            <w:tcW w:w="1200" w:type="pct"/>
            <w:shd w:val="clear" w:color="auto" w:fill="E7F0F9"/>
          </w:tcPr>
          <w:p w:rsidR="00D141C2" w:rsidRDefault="00771681">
            <w:pPr>
              <w:spacing w:after="0" w:line="240" w:lineRule="auto"/>
            </w:pPr>
            <w:r>
              <w:rPr>
                <w:b/>
              </w:rPr>
              <w:t>Razina</w:t>
            </w:r>
          </w:p>
        </w:tc>
        <w:tc>
          <w:tcPr>
            <w:tcW w:w="0" w:type="auto"/>
            <w:shd w:val="clear" w:color="auto" w:fill="E7F0F9"/>
          </w:tcPr>
          <w:p w:rsidR="00D141C2" w:rsidRDefault="00771681">
            <w:pPr>
              <w:spacing w:after="0" w:line="240" w:lineRule="auto"/>
            </w:pPr>
            <w:r>
              <w:t>42</w:t>
            </w:r>
          </w:p>
        </w:tc>
      </w:tr>
    </w:tbl>
    <w:p w:rsidR="00D141C2" w:rsidRDefault="00771681">
      <w:r>
        <w:br/>
      </w:r>
    </w:p>
    <w:p w:rsidR="00D141C2" w:rsidRDefault="00771681">
      <w:pPr>
        <w:spacing w:line="240" w:lineRule="auto"/>
        <w:jc w:val="center"/>
      </w:pPr>
      <w:r>
        <w:rPr>
          <w:b/>
          <w:sz w:val="28"/>
        </w:rPr>
        <w:t>BILJEŠKE UZ FINANCIJSKE IZVJEŠTAJE</w:t>
      </w:r>
    </w:p>
    <w:p w:rsidR="00D141C2" w:rsidRDefault="00771681">
      <w:pPr>
        <w:spacing w:line="240" w:lineRule="auto"/>
        <w:jc w:val="center"/>
      </w:pPr>
      <w:r>
        <w:rPr>
          <w:b/>
          <w:sz w:val="28"/>
        </w:rPr>
        <w:t>ZA RAZDOBLJE</w:t>
      </w:r>
    </w:p>
    <w:p w:rsidR="00D141C2" w:rsidRDefault="00771681">
      <w:pPr>
        <w:spacing w:line="240" w:lineRule="auto"/>
        <w:jc w:val="center"/>
      </w:pPr>
      <w:r>
        <w:rPr>
          <w:b/>
          <w:sz w:val="28"/>
        </w:rPr>
        <w:t>I - XII 2025.</w:t>
      </w:r>
    </w:p>
    <w:p w:rsidR="00D141C2" w:rsidRDefault="00D141C2"/>
    <w:p w:rsidR="00D141C2" w:rsidRDefault="00771681">
      <w:pPr>
        <w:keepNext/>
        <w:spacing w:line="240" w:lineRule="auto"/>
        <w:jc w:val="center"/>
      </w:pPr>
      <w:r>
        <w:rPr>
          <w:b/>
          <w:sz w:val="28"/>
        </w:rPr>
        <w:t>Izvještaj o prihodima i rashodima, primicima i izdacima</w:t>
      </w:r>
    </w:p>
    <w:p w:rsidR="00D141C2" w:rsidRDefault="0077168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6</w:t>
            </w:r>
          </w:p>
        </w:tc>
        <w:tc>
          <w:tcPr>
            <w:tcW w:w="3180" w:type="dxa"/>
            <w:tcMar>
              <w:top w:w="0" w:type="dxa"/>
              <w:bottom w:w="0" w:type="dxa"/>
            </w:tcMar>
            <w:vAlign w:val="center"/>
          </w:tcPr>
          <w:p w:rsidR="00D141C2" w:rsidRDefault="00771681">
            <w:pPr>
              <w:keepNext/>
              <w:keepLines/>
              <w:spacing w:after="0" w:line="240" w:lineRule="auto"/>
            </w:pPr>
            <w:r>
              <w:rPr>
                <w:sz w:val="18"/>
              </w:rPr>
              <w:t>PRIHODI POSLOVANJA (šifre 61+62+63+64+65+66+67+68)</w:t>
            </w:r>
          </w:p>
        </w:tc>
        <w:tc>
          <w:tcPr>
            <w:tcW w:w="700" w:type="dxa"/>
            <w:tcMar>
              <w:top w:w="0" w:type="dxa"/>
              <w:bottom w:w="0" w:type="dxa"/>
            </w:tcMar>
            <w:vAlign w:val="center"/>
          </w:tcPr>
          <w:p w:rsidR="00D141C2" w:rsidRDefault="00771681">
            <w:pPr>
              <w:keepNext/>
              <w:keepLines/>
              <w:spacing w:after="0" w:line="240" w:lineRule="auto"/>
            </w:pPr>
            <w:r>
              <w:rPr>
                <w:sz w:val="18"/>
              </w:rPr>
              <w:t>6</w:t>
            </w:r>
          </w:p>
        </w:tc>
        <w:tc>
          <w:tcPr>
            <w:tcW w:w="1860" w:type="dxa"/>
            <w:tcMar>
              <w:top w:w="0" w:type="dxa"/>
              <w:bottom w:w="0" w:type="dxa"/>
            </w:tcMar>
            <w:vAlign w:val="center"/>
          </w:tcPr>
          <w:p w:rsidR="00D141C2" w:rsidRDefault="00771681">
            <w:pPr>
              <w:keepNext/>
              <w:keepLines/>
              <w:spacing w:after="0" w:line="240" w:lineRule="auto"/>
              <w:jc w:val="right"/>
            </w:pPr>
            <w:r>
              <w:rPr>
                <w:sz w:val="18"/>
              </w:rPr>
              <w:t>8.810.761,55</w:t>
            </w:r>
          </w:p>
        </w:tc>
        <w:tc>
          <w:tcPr>
            <w:tcW w:w="1860" w:type="dxa"/>
            <w:tcMar>
              <w:top w:w="0" w:type="dxa"/>
              <w:bottom w:w="0" w:type="dxa"/>
            </w:tcMar>
            <w:vAlign w:val="center"/>
          </w:tcPr>
          <w:p w:rsidR="00D141C2" w:rsidRDefault="00771681">
            <w:pPr>
              <w:keepNext/>
              <w:keepLines/>
              <w:spacing w:after="0" w:line="240" w:lineRule="auto"/>
              <w:jc w:val="right"/>
            </w:pPr>
            <w:r>
              <w:rPr>
                <w:sz w:val="18"/>
              </w:rPr>
              <w:t>8.963.201,46</w:t>
            </w:r>
          </w:p>
        </w:tc>
        <w:tc>
          <w:tcPr>
            <w:tcW w:w="700" w:type="dxa"/>
            <w:tcMar>
              <w:top w:w="0" w:type="dxa"/>
              <w:bottom w:w="0" w:type="dxa"/>
            </w:tcMar>
            <w:vAlign w:val="center"/>
          </w:tcPr>
          <w:p w:rsidR="00D141C2" w:rsidRDefault="00771681">
            <w:pPr>
              <w:keepNext/>
              <w:keepLines/>
              <w:spacing w:after="0" w:line="240" w:lineRule="auto"/>
              <w:jc w:val="right"/>
            </w:pPr>
            <w:r>
              <w:rPr>
                <w:sz w:val="18"/>
              </w:rPr>
              <w:t>101,7</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3</w:t>
            </w:r>
          </w:p>
        </w:tc>
        <w:tc>
          <w:tcPr>
            <w:tcW w:w="3180" w:type="dxa"/>
            <w:tcMar>
              <w:top w:w="0" w:type="dxa"/>
              <w:bottom w:w="0" w:type="dxa"/>
            </w:tcMar>
            <w:vAlign w:val="center"/>
          </w:tcPr>
          <w:p w:rsidR="00D141C2" w:rsidRDefault="00771681">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rsidR="00D141C2" w:rsidRDefault="00771681">
            <w:pPr>
              <w:keepNext/>
              <w:keepLines/>
              <w:spacing w:after="0" w:line="240" w:lineRule="auto"/>
            </w:pPr>
            <w:r>
              <w:rPr>
                <w:sz w:val="18"/>
              </w:rPr>
              <w:t>3</w:t>
            </w:r>
          </w:p>
        </w:tc>
        <w:tc>
          <w:tcPr>
            <w:tcW w:w="1860" w:type="dxa"/>
            <w:tcMar>
              <w:top w:w="0" w:type="dxa"/>
              <w:bottom w:w="0" w:type="dxa"/>
            </w:tcMar>
            <w:vAlign w:val="center"/>
          </w:tcPr>
          <w:p w:rsidR="00D141C2" w:rsidRDefault="00771681">
            <w:pPr>
              <w:keepNext/>
              <w:keepLines/>
              <w:spacing w:after="0" w:line="240" w:lineRule="auto"/>
              <w:jc w:val="right"/>
            </w:pPr>
            <w:r>
              <w:rPr>
                <w:sz w:val="18"/>
              </w:rPr>
              <w:t>3.754.587,67</w:t>
            </w:r>
          </w:p>
        </w:tc>
        <w:tc>
          <w:tcPr>
            <w:tcW w:w="1860" w:type="dxa"/>
            <w:tcMar>
              <w:top w:w="0" w:type="dxa"/>
              <w:bottom w:w="0" w:type="dxa"/>
            </w:tcMar>
            <w:vAlign w:val="center"/>
          </w:tcPr>
          <w:p w:rsidR="00D141C2" w:rsidRDefault="00771681">
            <w:pPr>
              <w:keepNext/>
              <w:keepLines/>
              <w:spacing w:after="0" w:line="240" w:lineRule="auto"/>
              <w:jc w:val="right"/>
            </w:pPr>
            <w:r>
              <w:rPr>
                <w:sz w:val="18"/>
              </w:rPr>
              <w:t>7.037.907,73</w:t>
            </w:r>
          </w:p>
        </w:tc>
        <w:tc>
          <w:tcPr>
            <w:tcW w:w="700" w:type="dxa"/>
            <w:tcMar>
              <w:top w:w="0" w:type="dxa"/>
              <w:bottom w:w="0" w:type="dxa"/>
            </w:tcMar>
            <w:vAlign w:val="center"/>
          </w:tcPr>
          <w:p w:rsidR="00D141C2" w:rsidRDefault="00771681">
            <w:pPr>
              <w:keepNext/>
              <w:keepLines/>
              <w:spacing w:after="0" w:line="240" w:lineRule="auto"/>
              <w:jc w:val="right"/>
            </w:pPr>
            <w:r>
              <w:rPr>
                <w:sz w:val="18"/>
              </w:rPr>
              <w:t>187,4</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b/>
                <w:sz w:val="18"/>
              </w:rPr>
              <w:t>VIŠAK PRIHODA POSLOVANJA (šifre 6-Z005)</w:t>
            </w:r>
          </w:p>
        </w:tc>
        <w:tc>
          <w:tcPr>
            <w:tcW w:w="700" w:type="dxa"/>
            <w:tcMar>
              <w:top w:w="0" w:type="dxa"/>
              <w:bottom w:w="0" w:type="dxa"/>
            </w:tcMar>
            <w:vAlign w:val="center"/>
          </w:tcPr>
          <w:p w:rsidR="00D141C2" w:rsidRDefault="00771681">
            <w:pPr>
              <w:keepNext/>
              <w:keepLines/>
              <w:spacing w:after="0" w:line="240" w:lineRule="auto"/>
            </w:pPr>
            <w:r>
              <w:rPr>
                <w:b/>
                <w:sz w:val="18"/>
              </w:rPr>
              <w:t>X001</w:t>
            </w:r>
          </w:p>
        </w:tc>
        <w:tc>
          <w:tcPr>
            <w:tcW w:w="1860" w:type="dxa"/>
            <w:tcMar>
              <w:top w:w="0" w:type="dxa"/>
              <w:bottom w:w="0" w:type="dxa"/>
            </w:tcMar>
            <w:vAlign w:val="center"/>
          </w:tcPr>
          <w:p w:rsidR="00D141C2" w:rsidRDefault="00771681">
            <w:pPr>
              <w:keepNext/>
              <w:keepLines/>
              <w:spacing w:after="0" w:line="240" w:lineRule="auto"/>
              <w:jc w:val="right"/>
            </w:pPr>
            <w:r>
              <w:rPr>
                <w:b/>
                <w:sz w:val="18"/>
              </w:rPr>
              <w:t>5.056.173,88</w:t>
            </w:r>
          </w:p>
        </w:tc>
        <w:tc>
          <w:tcPr>
            <w:tcW w:w="1860" w:type="dxa"/>
            <w:tcMar>
              <w:top w:w="0" w:type="dxa"/>
              <w:bottom w:w="0" w:type="dxa"/>
            </w:tcMar>
            <w:vAlign w:val="center"/>
          </w:tcPr>
          <w:p w:rsidR="00D141C2" w:rsidRDefault="00771681">
            <w:pPr>
              <w:keepNext/>
              <w:keepLines/>
              <w:spacing w:after="0" w:line="240" w:lineRule="auto"/>
              <w:jc w:val="right"/>
            </w:pPr>
            <w:r>
              <w:rPr>
                <w:b/>
                <w:sz w:val="18"/>
              </w:rPr>
              <w:t>1.925.293,73</w:t>
            </w:r>
          </w:p>
        </w:tc>
        <w:tc>
          <w:tcPr>
            <w:tcW w:w="700" w:type="dxa"/>
            <w:tcMar>
              <w:top w:w="0" w:type="dxa"/>
              <w:bottom w:w="0" w:type="dxa"/>
            </w:tcMar>
            <w:vAlign w:val="center"/>
          </w:tcPr>
          <w:p w:rsidR="00D141C2" w:rsidRDefault="00771681">
            <w:pPr>
              <w:keepNext/>
              <w:keepLines/>
              <w:spacing w:after="0" w:line="240" w:lineRule="auto"/>
              <w:jc w:val="right"/>
            </w:pPr>
            <w:r>
              <w:rPr>
                <w:b/>
                <w:sz w:val="18"/>
              </w:rPr>
              <w:t>38,1</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7</w:t>
            </w:r>
          </w:p>
        </w:tc>
        <w:tc>
          <w:tcPr>
            <w:tcW w:w="3180" w:type="dxa"/>
            <w:tcMar>
              <w:top w:w="0" w:type="dxa"/>
              <w:bottom w:w="0" w:type="dxa"/>
            </w:tcMar>
            <w:vAlign w:val="center"/>
          </w:tcPr>
          <w:p w:rsidR="00D141C2" w:rsidRDefault="0077168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141C2" w:rsidRDefault="00771681">
            <w:pPr>
              <w:keepNext/>
              <w:keepLines/>
              <w:spacing w:after="0" w:line="240" w:lineRule="auto"/>
            </w:pPr>
            <w:r>
              <w:rPr>
                <w:sz w:val="18"/>
              </w:rPr>
              <w:t>7</w:t>
            </w:r>
          </w:p>
        </w:tc>
        <w:tc>
          <w:tcPr>
            <w:tcW w:w="1860" w:type="dxa"/>
            <w:tcMar>
              <w:top w:w="0" w:type="dxa"/>
              <w:bottom w:w="0" w:type="dxa"/>
            </w:tcMar>
            <w:vAlign w:val="center"/>
          </w:tcPr>
          <w:p w:rsidR="00D141C2" w:rsidRDefault="00771681">
            <w:pPr>
              <w:keepNext/>
              <w:keepLines/>
              <w:spacing w:after="0" w:line="240" w:lineRule="auto"/>
              <w:jc w:val="right"/>
            </w:pPr>
            <w:r>
              <w:rPr>
                <w:sz w:val="18"/>
              </w:rPr>
              <w:t>4.960,00</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0</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4</w:t>
            </w:r>
          </w:p>
        </w:tc>
        <w:tc>
          <w:tcPr>
            <w:tcW w:w="3180" w:type="dxa"/>
            <w:tcMar>
              <w:top w:w="0" w:type="dxa"/>
              <w:bottom w:w="0" w:type="dxa"/>
            </w:tcMar>
            <w:vAlign w:val="center"/>
          </w:tcPr>
          <w:p w:rsidR="00D141C2" w:rsidRDefault="00771681">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rsidR="00D141C2" w:rsidRDefault="00771681">
            <w:pPr>
              <w:keepNext/>
              <w:keepLines/>
              <w:spacing w:after="0" w:line="240" w:lineRule="auto"/>
            </w:pPr>
            <w:r>
              <w:rPr>
                <w:sz w:val="18"/>
              </w:rPr>
              <w:t>4</w:t>
            </w:r>
          </w:p>
        </w:tc>
        <w:tc>
          <w:tcPr>
            <w:tcW w:w="1860" w:type="dxa"/>
            <w:tcMar>
              <w:top w:w="0" w:type="dxa"/>
              <w:bottom w:w="0" w:type="dxa"/>
            </w:tcMar>
            <w:vAlign w:val="center"/>
          </w:tcPr>
          <w:p w:rsidR="00D141C2" w:rsidRDefault="00771681">
            <w:pPr>
              <w:keepNext/>
              <w:keepLines/>
              <w:spacing w:after="0" w:line="240" w:lineRule="auto"/>
              <w:jc w:val="right"/>
            </w:pPr>
            <w:r>
              <w:rPr>
                <w:sz w:val="18"/>
              </w:rPr>
              <w:t>5.424.836,41</w:t>
            </w:r>
          </w:p>
        </w:tc>
        <w:tc>
          <w:tcPr>
            <w:tcW w:w="1860" w:type="dxa"/>
            <w:tcMar>
              <w:top w:w="0" w:type="dxa"/>
              <w:bottom w:w="0" w:type="dxa"/>
            </w:tcMar>
            <w:vAlign w:val="center"/>
          </w:tcPr>
          <w:p w:rsidR="00D141C2" w:rsidRDefault="00771681">
            <w:pPr>
              <w:keepNext/>
              <w:keepLines/>
              <w:spacing w:after="0" w:line="240" w:lineRule="auto"/>
              <w:jc w:val="right"/>
            </w:pPr>
            <w:r>
              <w:rPr>
                <w:sz w:val="18"/>
              </w:rPr>
              <w:t>4.101.757,78</w:t>
            </w:r>
          </w:p>
        </w:tc>
        <w:tc>
          <w:tcPr>
            <w:tcW w:w="700" w:type="dxa"/>
            <w:tcMar>
              <w:top w:w="0" w:type="dxa"/>
              <w:bottom w:w="0" w:type="dxa"/>
            </w:tcMar>
            <w:vAlign w:val="center"/>
          </w:tcPr>
          <w:p w:rsidR="00D141C2" w:rsidRDefault="00771681">
            <w:pPr>
              <w:keepNext/>
              <w:keepLines/>
              <w:spacing w:after="0" w:line="240" w:lineRule="auto"/>
              <w:jc w:val="right"/>
            </w:pPr>
            <w:r>
              <w:rPr>
                <w:sz w:val="18"/>
              </w:rPr>
              <w:t>75,6</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D141C2" w:rsidRDefault="00771681">
            <w:pPr>
              <w:keepNext/>
              <w:keepLines/>
              <w:spacing w:after="0" w:line="240" w:lineRule="auto"/>
            </w:pPr>
            <w:r>
              <w:rPr>
                <w:b/>
                <w:sz w:val="18"/>
              </w:rPr>
              <w:t>Y002</w:t>
            </w:r>
          </w:p>
        </w:tc>
        <w:tc>
          <w:tcPr>
            <w:tcW w:w="1860" w:type="dxa"/>
            <w:tcMar>
              <w:top w:w="0" w:type="dxa"/>
              <w:bottom w:w="0" w:type="dxa"/>
            </w:tcMar>
            <w:vAlign w:val="center"/>
          </w:tcPr>
          <w:p w:rsidR="00D141C2" w:rsidRDefault="00771681">
            <w:pPr>
              <w:keepNext/>
              <w:keepLines/>
              <w:spacing w:after="0" w:line="240" w:lineRule="auto"/>
              <w:jc w:val="right"/>
            </w:pPr>
            <w:r>
              <w:rPr>
                <w:b/>
                <w:sz w:val="18"/>
              </w:rPr>
              <w:t>5.419.876,41</w:t>
            </w:r>
          </w:p>
        </w:tc>
        <w:tc>
          <w:tcPr>
            <w:tcW w:w="1860" w:type="dxa"/>
            <w:tcMar>
              <w:top w:w="0" w:type="dxa"/>
              <w:bottom w:w="0" w:type="dxa"/>
            </w:tcMar>
            <w:vAlign w:val="center"/>
          </w:tcPr>
          <w:p w:rsidR="00D141C2" w:rsidRDefault="00771681">
            <w:pPr>
              <w:keepNext/>
              <w:keepLines/>
              <w:spacing w:after="0" w:line="240" w:lineRule="auto"/>
              <w:jc w:val="right"/>
            </w:pPr>
            <w:r>
              <w:rPr>
                <w:b/>
                <w:sz w:val="18"/>
              </w:rPr>
              <w:t>4.101.757,78</w:t>
            </w:r>
          </w:p>
        </w:tc>
        <w:tc>
          <w:tcPr>
            <w:tcW w:w="700" w:type="dxa"/>
            <w:tcMar>
              <w:top w:w="0" w:type="dxa"/>
              <w:bottom w:w="0" w:type="dxa"/>
            </w:tcMar>
            <w:vAlign w:val="center"/>
          </w:tcPr>
          <w:p w:rsidR="00D141C2" w:rsidRDefault="00771681">
            <w:pPr>
              <w:keepNext/>
              <w:keepLines/>
              <w:spacing w:after="0" w:line="240" w:lineRule="auto"/>
              <w:jc w:val="right"/>
            </w:pPr>
            <w:r>
              <w:rPr>
                <w:b/>
                <w:sz w:val="18"/>
              </w:rPr>
              <w:t>75,7</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8</w:t>
            </w:r>
          </w:p>
        </w:tc>
        <w:tc>
          <w:tcPr>
            <w:tcW w:w="3180" w:type="dxa"/>
            <w:tcMar>
              <w:top w:w="0" w:type="dxa"/>
              <w:bottom w:w="0" w:type="dxa"/>
            </w:tcMar>
            <w:vAlign w:val="center"/>
          </w:tcPr>
          <w:p w:rsidR="00D141C2" w:rsidRDefault="0077168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D141C2" w:rsidRDefault="00771681">
            <w:pPr>
              <w:keepNext/>
              <w:keepLines/>
              <w:spacing w:after="0" w:line="240" w:lineRule="auto"/>
            </w:pPr>
            <w:r>
              <w:rPr>
                <w:sz w:val="18"/>
              </w:rPr>
              <w:t>8</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5</w:t>
            </w:r>
          </w:p>
        </w:tc>
        <w:tc>
          <w:tcPr>
            <w:tcW w:w="3180" w:type="dxa"/>
            <w:tcMar>
              <w:top w:w="0" w:type="dxa"/>
              <w:bottom w:w="0" w:type="dxa"/>
            </w:tcMar>
            <w:vAlign w:val="center"/>
          </w:tcPr>
          <w:p w:rsidR="00D141C2" w:rsidRDefault="00771681">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rsidR="00D141C2" w:rsidRDefault="00771681">
            <w:pPr>
              <w:keepNext/>
              <w:keepLines/>
              <w:spacing w:after="0" w:line="240" w:lineRule="auto"/>
            </w:pPr>
            <w:r>
              <w:rPr>
                <w:sz w:val="18"/>
              </w:rPr>
              <w:t>5</w:t>
            </w:r>
          </w:p>
        </w:tc>
        <w:tc>
          <w:tcPr>
            <w:tcW w:w="1860" w:type="dxa"/>
            <w:tcMar>
              <w:top w:w="0" w:type="dxa"/>
              <w:bottom w:w="0" w:type="dxa"/>
            </w:tcMar>
            <w:vAlign w:val="center"/>
          </w:tcPr>
          <w:p w:rsidR="00D141C2" w:rsidRDefault="00771681">
            <w:pPr>
              <w:keepNext/>
              <w:keepLines/>
              <w:spacing w:after="0" w:line="240" w:lineRule="auto"/>
              <w:jc w:val="right"/>
            </w:pPr>
            <w:r>
              <w:rPr>
                <w:sz w:val="18"/>
              </w:rPr>
              <w:t>264.969,08</w:t>
            </w:r>
          </w:p>
        </w:tc>
        <w:tc>
          <w:tcPr>
            <w:tcW w:w="1860" w:type="dxa"/>
            <w:tcMar>
              <w:top w:w="0" w:type="dxa"/>
              <w:bottom w:w="0" w:type="dxa"/>
            </w:tcMar>
            <w:vAlign w:val="center"/>
          </w:tcPr>
          <w:p w:rsidR="00D141C2" w:rsidRDefault="00771681">
            <w:pPr>
              <w:keepNext/>
              <w:keepLines/>
              <w:spacing w:after="0" w:line="240" w:lineRule="auto"/>
              <w:jc w:val="right"/>
            </w:pPr>
            <w:r>
              <w:rPr>
                <w:sz w:val="18"/>
              </w:rPr>
              <w:t>264.969,08</w:t>
            </w:r>
          </w:p>
        </w:tc>
        <w:tc>
          <w:tcPr>
            <w:tcW w:w="700" w:type="dxa"/>
            <w:tcMar>
              <w:top w:w="0" w:type="dxa"/>
              <w:bottom w:w="0" w:type="dxa"/>
            </w:tcMar>
            <w:vAlign w:val="center"/>
          </w:tcPr>
          <w:p w:rsidR="00D141C2" w:rsidRDefault="00771681">
            <w:pPr>
              <w:keepNext/>
              <w:keepLines/>
              <w:spacing w:after="0" w:line="240" w:lineRule="auto"/>
              <w:jc w:val="right"/>
            </w:pPr>
            <w:r>
              <w:rPr>
                <w:sz w:val="18"/>
              </w:rPr>
              <w:t>100</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D141C2" w:rsidRDefault="00771681">
            <w:pPr>
              <w:keepNext/>
              <w:keepLines/>
              <w:spacing w:after="0" w:line="240" w:lineRule="auto"/>
            </w:pPr>
            <w:r>
              <w:rPr>
                <w:b/>
                <w:sz w:val="18"/>
              </w:rPr>
              <w:t>Y003</w:t>
            </w:r>
          </w:p>
        </w:tc>
        <w:tc>
          <w:tcPr>
            <w:tcW w:w="1860" w:type="dxa"/>
            <w:tcMar>
              <w:top w:w="0" w:type="dxa"/>
              <w:bottom w:w="0" w:type="dxa"/>
            </w:tcMar>
            <w:vAlign w:val="center"/>
          </w:tcPr>
          <w:p w:rsidR="00D141C2" w:rsidRDefault="00771681">
            <w:pPr>
              <w:keepNext/>
              <w:keepLines/>
              <w:spacing w:after="0" w:line="240" w:lineRule="auto"/>
              <w:jc w:val="right"/>
            </w:pPr>
            <w:r>
              <w:rPr>
                <w:b/>
                <w:sz w:val="18"/>
              </w:rPr>
              <w:t>264.969,08</w:t>
            </w:r>
          </w:p>
        </w:tc>
        <w:tc>
          <w:tcPr>
            <w:tcW w:w="1860" w:type="dxa"/>
            <w:tcMar>
              <w:top w:w="0" w:type="dxa"/>
              <w:bottom w:w="0" w:type="dxa"/>
            </w:tcMar>
            <w:vAlign w:val="center"/>
          </w:tcPr>
          <w:p w:rsidR="00D141C2" w:rsidRDefault="00771681">
            <w:pPr>
              <w:keepNext/>
              <w:keepLines/>
              <w:spacing w:after="0" w:line="240" w:lineRule="auto"/>
              <w:jc w:val="right"/>
            </w:pPr>
            <w:r>
              <w:rPr>
                <w:b/>
                <w:sz w:val="18"/>
              </w:rPr>
              <w:t>264.969,08</w:t>
            </w:r>
          </w:p>
        </w:tc>
        <w:tc>
          <w:tcPr>
            <w:tcW w:w="700" w:type="dxa"/>
            <w:tcMar>
              <w:top w:w="0" w:type="dxa"/>
              <w:bottom w:w="0" w:type="dxa"/>
            </w:tcMar>
            <w:vAlign w:val="center"/>
          </w:tcPr>
          <w:p w:rsidR="00D141C2" w:rsidRDefault="00771681">
            <w:pPr>
              <w:keepNext/>
              <w:keepLines/>
              <w:spacing w:after="0" w:line="240" w:lineRule="auto"/>
              <w:jc w:val="right"/>
            </w:pPr>
            <w:r>
              <w:rPr>
                <w:b/>
                <w:sz w:val="18"/>
              </w:rPr>
              <w:t>100</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b/>
                <w:sz w:val="18"/>
              </w:rPr>
              <w:t>MANJAK PRIHODA I PRIMITAKA (šifre Y345-X678)</w:t>
            </w:r>
          </w:p>
        </w:tc>
        <w:tc>
          <w:tcPr>
            <w:tcW w:w="700" w:type="dxa"/>
            <w:tcMar>
              <w:top w:w="0" w:type="dxa"/>
              <w:bottom w:w="0" w:type="dxa"/>
            </w:tcMar>
            <w:vAlign w:val="center"/>
          </w:tcPr>
          <w:p w:rsidR="00D141C2" w:rsidRDefault="00771681">
            <w:pPr>
              <w:keepNext/>
              <w:keepLines/>
              <w:spacing w:after="0" w:line="240" w:lineRule="auto"/>
            </w:pPr>
            <w:r>
              <w:rPr>
                <w:b/>
                <w:sz w:val="18"/>
              </w:rPr>
              <w:t>Y005</w:t>
            </w:r>
          </w:p>
        </w:tc>
        <w:tc>
          <w:tcPr>
            <w:tcW w:w="1860" w:type="dxa"/>
            <w:tcMar>
              <w:top w:w="0" w:type="dxa"/>
              <w:bottom w:w="0" w:type="dxa"/>
            </w:tcMar>
            <w:vAlign w:val="center"/>
          </w:tcPr>
          <w:p w:rsidR="00D141C2" w:rsidRDefault="00771681">
            <w:pPr>
              <w:keepNext/>
              <w:keepLines/>
              <w:spacing w:after="0" w:line="240" w:lineRule="auto"/>
              <w:jc w:val="right"/>
            </w:pPr>
            <w:r>
              <w:rPr>
                <w:b/>
                <w:sz w:val="18"/>
              </w:rPr>
              <w:t>628.671,61</w:t>
            </w:r>
          </w:p>
        </w:tc>
        <w:tc>
          <w:tcPr>
            <w:tcW w:w="1860" w:type="dxa"/>
            <w:tcMar>
              <w:top w:w="0" w:type="dxa"/>
              <w:bottom w:w="0" w:type="dxa"/>
            </w:tcMar>
            <w:vAlign w:val="center"/>
          </w:tcPr>
          <w:p w:rsidR="00D141C2" w:rsidRDefault="00771681">
            <w:pPr>
              <w:keepNext/>
              <w:keepLines/>
              <w:spacing w:after="0" w:line="240" w:lineRule="auto"/>
              <w:jc w:val="right"/>
            </w:pPr>
            <w:r>
              <w:rPr>
                <w:b/>
                <w:sz w:val="18"/>
              </w:rPr>
              <w:t>2.441.433,13</w:t>
            </w:r>
          </w:p>
        </w:tc>
        <w:tc>
          <w:tcPr>
            <w:tcW w:w="700" w:type="dxa"/>
            <w:tcMar>
              <w:top w:w="0" w:type="dxa"/>
              <w:bottom w:w="0" w:type="dxa"/>
            </w:tcMar>
            <w:vAlign w:val="center"/>
          </w:tcPr>
          <w:p w:rsidR="00D141C2" w:rsidRDefault="00771681">
            <w:pPr>
              <w:keepNext/>
              <w:keepLines/>
              <w:spacing w:after="0" w:line="240" w:lineRule="auto"/>
              <w:jc w:val="right"/>
            </w:pPr>
            <w:r>
              <w:rPr>
                <w:b/>
                <w:sz w:val="18"/>
              </w:rPr>
              <w:t>388,3</w:t>
            </w:r>
          </w:p>
        </w:tc>
      </w:tr>
    </w:tbl>
    <w:p w:rsidR="00D141C2" w:rsidRDefault="00D141C2">
      <w:pPr>
        <w:spacing w:after="0"/>
      </w:pPr>
    </w:p>
    <w:p w:rsidR="00D141C2" w:rsidRDefault="00771681">
      <w:r>
        <w:t>U obrascu PR-RAS za izvještajno razdoblje iskazani su ukupni prihodi poslovanja u iznosu od 8.963.201,46 EUR te ukupni rashodi poslovanja u iznosu od 7.037.907,73 EUR. Iz navedenog proizlazi višak prihoda poslovanja u iznosu od 1.925.293,73 EUR.</w:t>
      </w:r>
    </w:p>
    <w:p w:rsidR="00D141C2" w:rsidRDefault="00771681">
      <w:r>
        <w:t>Prihodi od</w:t>
      </w:r>
      <w:r>
        <w:t xml:space="preserve"> prodaje nefinancijske imovine nisu ostvareni (0,00 EUR), dok rashodi za nabavu nefinancijske imovine iznose 4.101.757,78 EUR. Slijedom toga ostvaren je manjak prihoda </w:t>
      </w:r>
      <w:r>
        <w:lastRenderedPageBreak/>
        <w:t>od nefinancijske imovine u istom iznosu, što upućuje na značajnu investicijsku aktivnost</w:t>
      </w:r>
      <w:r>
        <w:t xml:space="preserve"> financiranu iz tekućih prihoda i drugih izvora.</w:t>
      </w:r>
    </w:p>
    <w:p w:rsidR="00D141C2" w:rsidRDefault="00771681">
      <w:r>
        <w:t>Primici od financijske imovine i zaduživanja nisu ostvareni (0,00 EUR), dok izdaci za financijsku imovinu i otplate zajmova iznose 264.969,08 EUR. Ostvaren je manjak od financijske imovine i zaduživanja u iz</w:t>
      </w:r>
      <w:r>
        <w:t>nosu od 264.969,08 EUR, što je rezultat redovite otplate postojećih obveza bez novog zaduženja.</w:t>
      </w:r>
    </w:p>
    <w:p w:rsidR="00D141C2" w:rsidRDefault="00771681">
      <w:r>
        <w:t>Ukupno gledano, u izvještajnom razdoblju ostvaren je manjak prihoda i primitaka u iznosu od 2.441.433,13 EUR. Manjak je prvenstveno rezultat vremenskog nepoduda</w:t>
      </w:r>
      <w:r>
        <w:t>ranja prihoda i rashoda, budući da sredstva temeljem Ugovora o sufinanciranju s trgovačkim društvom Hrvatske ceste d.o.o. nisu doznačena u izvještajnoj godini, iako su rashodi za realizaciju projekata nastali i evidentirani.</w:t>
      </w:r>
    </w:p>
    <w:p w:rsidR="00D141C2" w:rsidRDefault="00771681">
      <w:r>
        <w:t>Sredstva su doznačena u 2026. g</w:t>
      </w:r>
      <w:r>
        <w:t xml:space="preserve">odini, zbog čega prihodi nisu mogli biti priznati u promatranom razdoblju, dok su rashodi za nabavu nefinancijske imovine i izdaci za otplatu zajmova teretili tekuću godinu. Slijedom navedenog, iskazani manjak ima karakter privremenog (obračunskog) manjka </w:t>
      </w:r>
      <w:r>
        <w:t>uzrokovanog kašnjenjem u naplati ugovorenih sredstava, a ne strukturne neravnoteže poslovanja.</w:t>
      </w:r>
    </w:p>
    <w:p w:rsidR="00D141C2" w:rsidRDefault="00771681">
      <w:r>
        <w:br/>
      </w:r>
    </w:p>
    <w:p w:rsidR="00D141C2" w:rsidRDefault="0077168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r>
              <w:rPr>
                <w:b/>
                <w:sz w:val="18"/>
              </w:rPr>
              <w:t>%)</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6</w:t>
            </w:r>
          </w:p>
        </w:tc>
        <w:tc>
          <w:tcPr>
            <w:tcW w:w="3180" w:type="dxa"/>
            <w:tcMar>
              <w:top w:w="0" w:type="dxa"/>
              <w:bottom w:w="0" w:type="dxa"/>
            </w:tcMar>
            <w:vAlign w:val="center"/>
          </w:tcPr>
          <w:p w:rsidR="00D141C2" w:rsidRDefault="00771681">
            <w:pPr>
              <w:keepNext/>
              <w:keepLines/>
              <w:spacing w:after="0" w:line="240" w:lineRule="auto"/>
            </w:pPr>
            <w:r>
              <w:rPr>
                <w:sz w:val="18"/>
              </w:rPr>
              <w:t>PRIHODI POSLOVANJA (šifre 61+62+63+64+65+66+67+68)</w:t>
            </w:r>
          </w:p>
        </w:tc>
        <w:tc>
          <w:tcPr>
            <w:tcW w:w="700" w:type="dxa"/>
            <w:tcMar>
              <w:top w:w="0" w:type="dxa"/>
              <w:bottom w:w="0" w:type="dxa"/>
            </w:tcMar>
            <w:vAlign w:val="center"/>
          </w:tcPr>
          <w:p w:rsidR="00D141C2" w:rsidRDefault="00771681">
            <w:pPr>
              <w:keepNext/>
              <w:keepLines/>
              <w:spacing w:after="0" w:line="240" w:lineRule="auto"/>
            </w:pPr>
            <w:r>
              <w:rPr>
                <w:sz w:val="18"/>
              </w:rPr>
              <w:t>6</w:t>
            </w:r>
          </w:p>
        </w:tc>
        <w:tc>
          <w:tcPr>
            <w:tcW w:w="1860" w:type="dxa"/>
            <w:tcMar>
              <w:top w:w="0" w:type="dxa"/>
              <w:bottom w:w="0" w:type="dxa"/>
            </w:tcMar>
            <w:vAlign w:val="center"/>
          </w:tcPr>
          <w:p w:rsidR="00D141C2" w:rsidRDefault="00771681">
            <w:pPr>
              <w:keepNext/>
              <w:keepLines/>
              <w:spacing w:after="0" w:line="240" w:lineRule="auto"/>
              <w:jc w:val="right"/>
            </w:pPr>
            <w:r>
              <w:rPr>
                <w:sz w:val="18"/>
              </w:rPr>
              <w:t>8.810.761,55</w:t>
            </w:r>
          </w:p>
        </w:tc>
        <w:tc>
          <w:tcPr>
            <w:tcW w:w="1860" w:type="dxa"/>
            <w:tcMar>
              <w:top w:w="0" w:type="dxa"/>
              <w:bottom w:w="0" w:type="dxa"/>
            </w:tcMar>
            <w:vAlign w:val="center"/>
          </w:tcPr>
          <w:p w:rsidR="00D141C2" w:rsidRDefault="00771681">
            <w:pPr>
              <w:keepNext/>
              <w:keepLines/>
              <w:spacing w:after="0" w:line="240" w:lineRule="auto"/>
              <w:jc w:val="right"/>
            </w:pPr>
            <w:r>
              <w:rPr>
                <w:sz w:val="18"/>
              </w:rPr>
              <w:t>8.963.201,46</w:t>
            </w:r>
          </w:p>
        </w:tc>
        <w:tc>
          <w:tcPr>
            <w:tcW w:w="700" w:type="dxa"/>
            <w:tcMar>
              <w:top w:w="0" w:type="dxa"/>
              <w:bottom w:w="0" w:type="dxa"/>
            </w:tcMar>
            <w:vAlign w:val="center"/>
          </w:tcPr>
          <w:p w:rsidR="00D141C2" w:rsidRDefault="00771681">
            <w:pPr>
              <w:keepNext/>
              <w:keepLines/>
              <w:spacing w:after="0" w:line="240" w:lineRule="auto"/>
              <w:jc w:val="right"/>
            </w:pPr>
            <w:r>
              <w:rPr>
                <w:sz w:val="18"/>
              </w:rPr>
              <w:t>101,7</w:t>
            </w:r>
          </w:p>
        </w:tc>
      </w:tr>
    </w:tbl>
    <w:p w:rsidR="00D141C2" w:rsidRDefault="00D141C2">
      <w:pPr>
        <w:spacing w:after="0"/>
      </w:pPr>
    </w:p>
    <w:p w:rsidR="00D141C2" w:rsidRDefault="00771681">
      <w:r>
        <w:t xml:space="preserve">Prihodi od pomoći (skupina 63) ostvareni su u iznosu od 3.385.097,76 EUR te su manji u odnosu na prethodnu godinu za 118.103,67 EUR. Smanjenje se odnosi na kapitalne pomoći iz drugih proračuna (6332) i posljedica je dinamike doznake sredstava od strane HC </w:t>
      </w:r>
      <w:r>
        <w:t>d.o.o..</w:t>
      </w:r>
    </w:p>
    <w:p w:rsidR="00D141C2" w:rsidRDefault="00771681">
      <w:r>
        <w:t>Prihodi od imovine (skupina 64) iznose 5.567.258,29 EUR te su veći za 298.441,42 EUR. Najznačajnije povećanje odnosi se na naknade za ceste (6424), što je rezultat većeg ostvarenja prihoda sukladno propisanoj raspodjeli i naplati naknada tijekom go</w:t>
      </w:r>
      <w:r>
        <w:t>dine.</w:t>
      </w:r>
    </w:p>
    <w:p w:rsidR="00D141C2" w:rsidRDefault="00771681">
      <w:r>
        <w:t xml:space="preserve">Prihodi po posebnim propisima (6526) ostvareni su u manjem iznosu (6.166,73 EUR) u odnosu na prethodnu godinu (21.407,50 EUR), što je posljedica manjeg broja šteta te samim time i naknada za </w:t>
      </w:r>
      <w:proofErr w:type="spellStart"/>
      <w:r>
        <w:t>štete.</w:t>
      </w:r>
      <w:proofErr w:type="spellEnd"/>
      <w:r>
        <w:t>.</w:t>
      </w:r>
    </w:p>
    <w:p w:rsidR="00D141C2" w:rsidRDefault="00771681">
      <w:r>
        <w:t>Kazne i ostali prihodi (skupina 68) također su manj</w:t>
      </w:r>
      <w:r>
        <w:t>i u odnosu na prethodnu godinu, budući da u tekućem razdoblju nisu ostvareni prihodi od ostalih kazni (6819), koji su u prethodnoj godini bili evidentirani u iznosu od 12.073,88 EUR.</w:t>
      </w:r>
    </w:p>
    <w:p w:rsidR="00D141C2" w:rsidRDefault="00D141C2"/>
    <w:p w:rsidR="00D141C2" w:rsidRDefault="00771681">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3</w:t>
            </w:r>
          </w:p>
        </w:tc>
        <w:tc>
          <w:tcPr>
            <w:tcW w:w="3180" w:type="dxa"/>
            <w:tcMar>
              <w:top w:w="0" w:type="dxa"/>
              <w:bottom w:w="0" w:type="dxa"/>
            </w:tcMar>
            <w:vAlign w:val="center"/>
          </w:tcPr>
          <w:p w:rsidR="00D141C2" w:rsidRDefault="00771681">
            <w:pPr>
              <w:keepNext/>
              <w:keepLines/>
              <w:spacing w:after="0" w:line="240" w:lineRule="auto"/>
            </w:pPr>
            <w:r>
              <w:rPr>
                <w:sz w:val="18"/>
              </w:rPr>
              <w:t>RASHODI POSLOVANJA (šifre 31+32+34+35+36+37+38)</w:t>
            </w:r>
          </w:p>
        </w:tc>
        <w:tc>
          <w:tcPr>
            <w:tcW w:w="700" w:type="dxa"/>
            <w:tcMar>
              <w:top w:w="0" w:type="dxa"/>
              <w:bottom w:w="0" w:type="dxa"/>
            </w:tcMar>
            <w:vAlign w:val="center"/>
          </w:tcPr>
          <w:p w:rsidR="00D141C2" w:rsidRDefault="00771681">
            <w:pPr>
              <w:keepNext/>
              <w:keepLines/>
              <w:spacing w:after="0" w:line="240" w:lineRule="auto"/>
            </w:pPr>
            <w:r>
              <w:rPr>
                <w:sz w:val="18"/>
              </w:rPr>
              <w:t>3</w:t>
            </w:r>
          </w:p>
        </w:tc>
        <w:tc>
          <w:tcPr>
            <w:tcW w:w="1860" w:type="dxa"/>
            <w:tcMar>
              <w:top w:w="0" w:type="dxa"/>
              <w:bottom w:w="0" w:type="dxa"/>
            </w:tcMar>
            <w:vAlign w:val="center"/>
          </w:tcPr>
          <w:p w:rsidR="00D141C2" w:rsidRDefault="00771681">
            <w:pPr>
              <w:keepNext/>
              <w:keepLines/>
              <w:spacing w:after="0" w:line="240" w:lineRule="auto"/>
              <w:jc w:val="right"/>
            </w:pPr>
            <w:r>
              <w:rPr>
                <w:sz w:val="18"/>
              </w:rPr>
              <w:t>3.754.587,67</w:t>
            </w:r>
          </w:p>
        </w:tc>
        <w:tc>
          <w:tcPr>
            <w:tcW w:w="1860" w:type="dxa"/>
            <w:tcMar>
              <w:top w:w="0" w:type="dxa"/>
              <w:bottom w:w="0" w:type="dxa"/>
            </w:tcMar>
            <w:vAlign w:val="center"/>
          </w:tcPr>
          <w:p w:rsidR="00D141C2" w:rsidRDefault="00771681">
            <w:pPr>
              <w:keepNext/>
              <w:keepLines/>
              <w:spacing w:after="0" w:line="240" w:lineRule="auto"/>
              <w:jc w:val="right"/>
            </w:pPr>
            <w:r>
              <w:rPr>
                <w:sz w:val="18"/>
              </w:rPr>
              <w:t>7.037.907,73</w:t>
            </w:r>
          </w:p>
        </w:tc>
        <w:tc>
          <w:tcPr>
            <w:tcW w:w="700" w:type="dxa"/>
            <w:tcMar>
              <w:top w:w="0" w:type="dxa"/>
              <w:bottom w:w="0" w:type="dxa"/>
            </w:tcMar>
            <w:vAlign w:val="center"/>
          </w:tcPr>
          <w:p w:rsidR="00D141C2" w:rsidRDefault="00771681">
            <w:pPr>
              <w:keepNext/>
              <w:keepLines/>
              <w:spacing w:after="0" w:line="240" w:lineRule="auto"/>
              <w:jc w:val="right"/>
            </w:pPr>
            <w:r>
              <w:rPr>
                <w:sz w:val="18"/>
              </w:rPr>
              <w:t>187,4</w:t>
            </w:r>
          </w:p>
        </w:tc>
      </w:tr>
    </w:tbl>
    <w:p w:rsidR="00D141C2" w:rsidRDefault="00D141C2">
      <w:pPr>
        <w:spacing w:after="0"/>
      </w:pPr>
    </w:p>
    <w:p w:rsidR="00D141C2" w:rsidRDefault="00771681">
      <w:r>
        <w:t>Ukupni rashodi poslovanja iznose 7.037.907,73 EUR i znatno su veći u odnosu na prethodnu godinu (3.754.587,67 EUR), odnosno povećani su za 3.283.320,06 EUR.</w:t>
      </w:r>
    </w:p>
    <w:p w:rsidR="00D141C2" w:rsidRDefault="00771681">
      <w:r>
        <w:t>Najveće odstupanje odnosi se na materijalne rashode (skupina 32), koji su porasli s 2.703.929,28 EU</w:t>
      </w:r>
      <w:r>
        <w:t>R na 5.923.593,79 EUR. Povećanje je prvenstveno rezultat većih rashoda za usluge tekućeg i investicijskog održavanja (3232), sukladno planiranim i realiziranim radovima na održavanju i unapređenju cestovne infrastrukture u tekućoj godini.</w:t>
      </w:r>
    </w:p>
    <w:p w:rsidR="00D141C2" w:rsidRDefault="00771681">
      <w:r>
        <w:t>Financijski rasho</w:t>
      </w:r>
      <w:r>
        <w:t>di (34) manji su u odnosu na prethodnu godinu, ponajprije zbog smanjenih rashoda za kamate na primljene kredite te izostanka zateznih kamata.</w:t>
      </w:r>
    </w:p>
    <w:p w:rsidR="00D141C2" w:rsidRDefault="00771681">
      <w:r>
        <w:t>Pomoći dane unutar općeg proračuna (36) blago su povećane, sukladno preuzetim obvezama i odlukama nadležnih tijela</w:t>
      </w:r>
      <w:r>
        <w:t>.</w:t>
      </w:r>
    </w:p>
    <w:p w:rsidR="00D141C2" w:rsidRDefault="00771681">
      <w:r>
        <w:t>Rashodi za donacije i naknade šteta (38) manji su u odnosu na prethodnu godinu jer u tekućem razdoblju nisu evidentirane naknade šteta kao u prethodnoj godini.</w:t>
      </w:r>
    </w:p>
    <w:p w:rsidR="00D141C2" w:rsidRDefault="00D141C2"/>
    <w:p w:rsidR="00D141C2" w:rsidRDefault="00771681">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w:t>
            </w:r>
            <w:r>
              <w:rPr>
                <w:b/>
                <w:sz w:val="18"/>
              </w:rPr>
              <w:t>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sz w:val="18"/>
              </w:rPr>
              <w:t>VIŠAK PRIHODA POSLOVANJA (šifre 6-Z005)</w:t>
            </w:r>
          </w:p>
        </w:tc>
        <w:tc>
          <w:tcPr>
            <w:tcW w:w="700" w:type="dxa"/>
            <w:tcMar>
              <w:top w:w="0" w:type="dxa"/>
              <w:bottom w:w="0" w:type="dxa"/>
            </w:tcMar>
            <w:vAlign w:val="center"/>
          </w:tcPr>
          <w:p w:rsidR="00D141C2" w:rsidRDefault="00771681">
            <w:pPr>
              <w:keepNext/>
              <w:keepLines/>
              <w:spacing w:after="0" w:line="240" w:lineRule="auto"/>
            </w:pPr>
            <w:r>
              <w:rPr>
                <w:sz w:val="18"/>
              </w:rPr>
              <w:t>X001</w:t>
            </w:r>
          </w:p>
        </w:tc>
        <w:tc>
          <w:tcPr>
            <w:tcW w:w="1860" w:type="dxa"/>
            <w:tcMar>
              <w:top w:w="0" w:type="dxa"/>
              <w:bottom w:w="0" w:type="dxa"/>
            </w:tcMar>
            <w:vAlign w:val="center"/>
          </w:tcPr>
          <w:p w:rsidR="00D141C2" w:rsidRDefault="00771681">
            <w:pPr>
              <w:keepNext/>
              <w:keepLines/>
              <w:spacing w:after="0" w:line="240" w:lineRule="auto"/>
              <w:jc w:val="right"/>
            </w:pPr>
            <w:r>
              <w:rPr>
                <w:sz w:val="18"/>
              </w:rPr>
              <w:t>5.056.173,88</w:t>
            </w:r>
          </w:p>
        </w:tc>
        <w:tc>
          <w:tcPr>
            <w:tcW w:w="1860" w:type="dxa"/>
            <w:tcMar>
              <w:top w:w="0" w:type="dxa"/>
              <w:bottom w:w="0" w:type="dxa"/>
            </w:tcMar>
            <w:vAlign w:val="center"/>
          </w:tcPr>
          <w:p w:rsidR="00D141C2" w:rsidRDefault="00771681">
            <w:pPr>
              <w:keepNext/>
              <w:keepLines/>
              <w:spacing w:after="0" w:line="240" w:lineRule="auto"/>
              <w:jc w:val="right"/>
            </w:pPr>
            <w:r>
              <w:rPr>
                <w:sz w:val="18"/>
              </w:rPr>
              <w:t>1.925.293,73</w:t>
            </w:r>
          </w:p>
        </w:tc>
        <w:tc>
          <w:tcPr>
            <w:tcW w:w="700" w:type="dxa"/>
            <w:tcMar>
              <w:top w:w="0" w:type="dxa"/>
              <w:bottom w:w="0" w:type="dxa"/>
            </w:tcMar>
            <w:vAlign w:val="center"/>
          </w:tcPr>
          <w:p w:rsidR="00D141C2" w:rsidRDefault="00771681">
            <w:pPr>
              <w:keepNext/>
              <w:keepLines/>
              <w:spacing w:after="0" w:line="240" w:lineRule="auto"/>
              <w:jc w:val="right"/>
            </w:pPr>
            <w:r>
              <w:rPr>
                <w:sz w:val="18"/>
              </w:rPr>
              <w:t>38,1</w:t>
            </w:r>
          </w:p>
        </w:tc>
      </w:tr>
    </w:tbl>
    <w:p w:rsidR="00D141C2" w:rsidRDefault="00D141C2">
      <w:pPr>
        <w:spacing w:after="0"/>
      </w:pPr>
    </w:p>
    <w:p w:rsidR="00D141C2" w:rsidRDefault="00771681">
      <w:r>
        <w:t>Višak prihoda poslovanja u tekućoj godini iznosi 1.925.293,73 EUR i manji je u odnosu na prethodnu godinu (5.056.173,88 EUR), prvenstveno zbog značajnog povećanja rashoda poslovanja, osobito u dijelu održavanja i investicijskih aktivnosti.</w:t>
      </w:r>
    </w:p>
    <w:p w:rsidR="00D141C2" w:rsidRDefault="00771681">
      <w:r>
        <w:t>Obračunati, a ne</w:t>
      </w:r>
      <w:r>
        <w:t>naplaćeni prihodi (96) znatno su povećani te iznose 2.531.920,51 EUR, što upućuje na veći iznos potraživanja na kraju izvještajnog razdoblja u odnosu na prethodnu godinu te je povezano s dinamikom obračuna i naplate prihoda, osobito prihoda od pomoći prora</w:t>
      </w:r>
      <w:r>
        <w:t>čunu iz drugih proračuna.</w:t>
      </w:r>
    </w:p>
    <w:p w:rsidR="00D141C2" w:rsidRDefault="00771681">
      <w:r>
        <w:t>Zaključno, odstupanja u odnosu na prethodnu godinu rezultat su prvenstveno pojačane realizacije radova na održavanju i unapređenju cestovne infrastrukture, promjene dinamike primitka kapitalnih pomoći te povećanja nenaplaćenih pot</w:t>
      </w:r>
      <w:r>
        <w:t>raživanja na kraju razdoblja.</w:t>
      </w:r>
    </w:p>
    <w:p w:rsidR="00D141C2" w:rsidRDefault="00D141C2"/>
    <w:p w:rsidR="00D141C2" w:rsidRDefault="00771681">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7</w:t>
            </w:r>
          </w:p>
        </w:tc>
        <w:tc>
          <w:tcPr>
            <w:tcW w:w="3180" w:type="dxa"/>
            <w:tcMar>
              <w:top w:w="0" w:type="dxa"/>
              <w:bottom w:w="0" w:type="dxa"/>
            </w:tcMar>
            <w:vAlign w:val="center"/>
          </w:tcPr>
          <w:p w:rsidR="00D141C2" w:rsidRDefault="0077168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D141C2" w:rsidRDefault="00771681">
            <w:pPr>
              <w:keepNext/>
              <w:keepLines/>
              <w:spacing w:after="0" w:line="240" w:lineRule="auto"/>
            </w:pPr>
            <w:r>
              <w:rPr>
                <w:sz w:val="18"/>
              </w:rPr>
              <w:t>7</w:t>
            </w:r>
          </w:p>
        </w:tc>
        <w:tc>
          <w:tcPr>
            <w:tcW w:w="1860" w:type="dxa"/>
            <w:tcMar>
              <w:top w:w="0" w:type="dxa"/>
              <w:bottom w:w="0" w:type="dxa"/>
            </w:tcMar>
            <w:vAlign w:val="center"/>
          </w:tcPr>
          <w:p w:rsidR="00D141C2" w:rsidRDefault="00771681">
            <w:pPr>
              <w:keepNext/>
              <w:keepLines/>
              <w:spacing w:after="0" w:line="240" w:lineRule="auto"/>
              <w:jc w:val="right"/>
            </w:pPr>
            <w:r>
              <w:rPr>
                <w:sz w:val="18"/>
              </w:rPr>
              <w:t>4.960,00</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0</w:t>
            </w:r>
          </w:p>
        </w:tc>
      </w:tr>
    </w:tbl>
    <w:p w:rsidR="00D141C2" w:rsidRDefault="00D141C2">
      <w:pPr>
        <w:spacing w:after="0"/>
      </w:pPr>
    </w:p>
    <w:p w:rsidR="00D141C2" w:rsidRDefault="00771681">
      <w:r>
        <w:t>Ukupni prihodi od prodaje nefinancijske imovine iznosili su 0,00 EUR, što predstavlja smanjenje u odnosu na prethodnu godinu kada su prihodi po osnovi prodaje prijevoznih sredstava ostvareni. U tekućoj godini kategorije nefinancijske imovine nisu zabilježi</w:t>
      </w:r>
      <w:r>
        <w:t>le promet, što je u skladu s planiranim aktivnostima.</w:t>
      </w:r>
    </w:p>
    <w:p w:rsidR="00D141C2" w:rsidRDefault="00D141C2"/>
    <w:p w:rsidR="00D141C2" w:rsidRDefault="0077168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4</w:t>
            </w:r>
          </w:p>
        </w:tc>
        <w:tc>
          <w:tcPr>
            <w:tcW w:w="3180" w:type="dxa"/>
            <w:tcMar>
              <w:top w:w="0" w:type="dxa"/>
              <w:bottom w:w="0" w:type="dxa"/>
            </w:tcMar>
            <w:vAlign w:val="center"/>
          </w:tcPr>
          <w:p w:rsidR="00D141C2" w:rsidRDefault="00771681">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rsidR="00D141C2" w:rsidRDefault="00771681">
            <w:pPr>
              <w:keepNext/>
              <w:keepLines/>
              <w:spacing w:after="0" w:line="240" w:lineRule="auto"/>
            </w:pPr>
            <w:r>
              <w:rPr>
                <w:sz w:val="18"/>
              </w:rPr>
              <w:t>4</w:t>
            </w:r>
          </w:p>
        </w:tc>
        <w:tc>
          <w:tcPr>
            <w:tcW w:w="1860" w:type="dxa"/>
            <w:tcMar>
              <w:top w:w="0" w:type="dxa"/>
              <w:bottom w:w="0" w:type="dxa"/>
            </w:tcMar>
            <w:vAlign w:val="center"/>
          </w:tcPr>
          <w:p w:rsidR="00D141C2" w:rsidRDefault="00771681">
            <w:pPr>
              <w:keepNext/>
              <w:keepLines/>
              <w:spacing w:after="0" w:line="240" w:lineRule="auto"/>
              <w:jc w:val="right"/>
            </w:pPr>
            <w:r>
              <w:rPr>
                <w:sz w:val="18"/>
              </w:rPr>
              <w:t>5.424.836,41</w:t>
            </w:r>
          </w:p>
        </w:tc>
        <w:tc>
          <w:tcPr>
            <w:tcW w:w="1860" w:type="dxa"/>
            <w:tcMar>
              <w:top w:w="0" w:type="dxa"/>
              <w:bottom w:w="0" w:type="dxa"/>
            </w:tcMar>
            <w:vAlign w:val="center"/>
          </w:tcPr>
          <w:p w:rsidR="00D141C2" w:rsidRDefault="00771681">
            <w:pPr>
              <w:keepNext/>
              <w:keepLines/>
              <w:spacing w:after="0" w:line="240" w:lineRule="auto"/>
              <w:jc w:val="right"/>
            </w:pPr>
            <w:r>
              <w:rPr>
                <w:sz w:val="18"/>
              </w:rPr>
              <w:t>4.101.757,78</w:t>
            </w:r>
          </w:p>
        </w:tc>
        <w:tc>
          <w:tcPr>
            <w:tcW w:w="700" w:type="dxa"/>
            <w:tcMar>
              <w:top w:w="0" w:type="dxa"/>
              <w:bottom w:w="0" w:type="dxa"/>
            </w:tcMar>
            <w:vAlign w:val="center"/>
          </w:tcPr>
          <w:p w:rsidR="00D141C2" w:rsidRDefault="00771681">
            <w:pPr>
              <w:keepNext/>
              <w:keepLines/>
              <w:spacing w:after="0" w:line="240" w:lineRule="auto"/>
              <w:jc w:val="right"/>
            </w:pPr>
            <w:r>
              <w:rPr>
                <w:sz w:val="18"/>
              </w:rPr>
              <w:t>75,6</w:t>
            </w:r>
          </w:p>
        </w:tc>
      </w:tr>
    </w:tbl>
    <w:p w:rsidR="00D141C2" w:rsidRDefault="00D141C2">
      <w:pPr>
        <w:spacing w:after="0"/>
      </w:pPr>
    </w:p>
    <w:p w:rsidR="00D141C2" w:rsidRDefault="00771681">
      <w:r>
        <w:t xml:space="preserve">Ukupni rashodi iznosili su 4.101.757,78 </w:t>
      </w:r>
      <w:proofErr w:type="spellStart"/>
      <w:r>
        <w:t>eur</w:t>
      </w:r>
      <w:proofErr w:type="spellEnd"/>
      <w:r>
        <w:t>, što je smanjenje</w:t>
      </w:r>
      <w:r>
        <w:t xml:space="preserve"> u odnosu na prethodnu godinu (5.424.836,41</w:t>
      </w:r>
      <w:r>
        <w:t xml:space="preserve"> </w:t>
      </w:r>
      <w:proofErr w:type="spellStart"/>
      <w:r>
        <w:t>eur</w:t>
      </w:r>
      <w:proofErr w:type="spellEnd"/>
      <w:r>
        <w:t xml:space="preserve">). </w:t>
      </w:r>
      <w:r>
        <w:t xml:space="preserve">U tekućem razdoblju fokus je bio na </w:t>
      </w:r>
      <w:r w:rsidRPr="00771681">
        <w:rPr>
          <w:rStyle w:val="Naglaeno"/>
          <w:b w:val="0"/>
        </w:rPr>
        <w:t>izvanrednim</w:t>
      </w:r>
      <w:r w:rsidRPr="00771681">
        <w:rPr>
          <w:rStyle w:val="Naglaeno"/>
          <w:b w:val="0"/>
        </w:rPr>
        <w:t xml:space="preserve"> ulaganjima</w:t>
      </w:r>
      <w:r>
        <w:t>, što je utjecalo na strukturu rashoda</w:t>
      </w:r>
      <w:r>
        <w:t xml:space="preserve">. </w:t>
      </w:r>
      <w:r>
        <w:t>Rashodi za nabavu proizvedene dugotrajne imovine manji su u odnosu na prethodnu godinu zbog smanjenja aktivnosti na postrojenjima i opremi te odsutnosti nabave prijevoznih sredstava i nematerijalne proizvedene imovine.</w:t>
      </w:r>
      <w:bookmarkStart w:id="0" w:name="_GoBack"/>
      <w:bookmarkEnd w:id="0"/>
    </w:p>
    <w:p w:rsidR="00D141C2" w:rsidRDefault="00771681">
      <w:r>
        <w:t>Napomena:</w:t>
      </w:r>
    </w:p>
    <w:p w:rsidR="00D141C2" w:rsidRDefault="00771681">
      <w:r>
        <w:t>Prodaja pr</w:t>
      </w:r>
      <w:r>
        <w:t>ijevoznih sredstava nije ostvarena, a sve u skladu s financijskim planom.</w:t>
      </w:r>
      <w:r>
        <w:br/>
        <w:t>Veća ulaganja u građevinske objekte rezultat su nastavka infrastrukturnih projekata, što je u skladu s Planom građenja županijskih i lokalnih cesta. </w:t>
      </w:r>
      <w:r>
        <w:br/>
        <w:t>Navedena odstupanja su planirana</w:t>
      </w:r>
      <w:r>
        <w:t xml:space="preserve"> i odražavaju sezonsku i projektno uvjetovanu dinamiku prihoda i rashoda.</w:t>
      </w:r>
    </w:p>
    <w:p w:rsidR="00D141C2" w:rsidRDefault="00D141C2"/>
    <w:p w:rsidR="00D141C2" w:rsidRDefault="0077168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92222</w:t>
            </w:r>
          </w:p>
        </w:tc>
        <w:tc>
          <w:tcPr>
            <w:tcW w:w="3180" w:type="dxa"/>
            <w:tcMar>
              <w:top w:w="0" w:type="dxa"/>
              <w:bottom w:w="0" w:type="dxa"/>
            </w:tcMar>
            <w:vAlign w:val="center"/>
          </w:tcPr>
          <w:p w:rsidR="00D141C2" w:rsidRDefault="00771681">
            <w:pPr>
              <w:keepNext/>
              <w:keepLines/>
              <w:spacing w:after="0" w:line="240" w:lineRule="auto"/>
            </w:pPr>
            <w:r>
              <w:rPr>
                <w:sz w:val="18"/>
              </w:rPr>
              <w:t xml:space="preserve">Manjak </w:t>
            </w:r>
            <w:r>
              <w:rPr>
                <w:sz w:val="18"/>
              </w:rPr>
              <w:t>prihoda od nefinancijske imovine - preneseni</w:t>
            </w:r>
          </w:p>
        </w:tc>
        <w:tc>
          <w:tcPr>
            <w:tcW w:w="700" w:type="dxa"/>
            <w:tcMar>
              <w:top w:w="0" w:type="dxa"/>
              <w:bottom w:w="0" w:type="dxa"/>
            </w:tcMar>
            <w:vAlign w:val="center"/>
          </w:tcPr>
          <w:p w:rsidR="00D141C2" w:rsidRDefault="00771681">
            <w:pPr>
              <w:keepNext/>
              <w:keepLines/>
              <w:spacing w:after="0" w:line="240" w:lineRule="auto"/>
            </w:pPr>
            <w:r>
              <w:rPr>
                <w:sz w:val="18"/>
              </w:rPr>
              <w:t>92222</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1860" w:type="dxa"/>
            <w:tcMar>
              <w:top w:w="0" w:type="dxa"/>
              <w:bottom w:w="0" w:type="dxa"/>
            </w:tcMar>
            <w:vAlign w:val="center"/>
          </w:tcPr>
          <w:p w:rsidR="00D141C2" w:rsidRDefault="00771681">
            <w:pPr>
              <w:keepNext/>
              <w:keepLines/>
              <w:spacing w:after="0" w:line="240" w:lineRule="auto"/>
              <w:jc w:val="right"/>
            </w:pPr>
            <w:r>
              <w:rPr>
                <w:sz w:val="18"/>
              </w:rPr>
              <w:t>1.046.852,42</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bl>
    <w:p w:rsidR="00D141C2" w:rsidRDefault="00D141C2">
      <w:pPr>
        <w:spacing w:after="0"/>
      </w:pPr>
    </w:p>
    <w:p w:rsidR="00D141C2" w:rsidRDefault="00771681">
      <w:r>
        <w:t xml:space="preserve">Manjak prihoda od nefinancijske imovine iznosi 4.101.757,78 </w:t>
      </w:r>
      <w:proofErr w:type="spellStart"/>
      <w:r>
        <w:t>eur</w:t>
      </w:r>
      <w:proofErr w:type="spellEnd"/>
      <w:r>
        <w:t xml:space="preserve">, što je posljedica ulaganja u građevinsku nefinancijsku imovinu u izvještajnom razdoblju, dok prihodi od prodaje nisu </w:t>
      </w:r>
      <w:r>
        <w:lastRenderedPageBreak/>
        <w:t>realizirani. Preneseni višak i manjak prihoda od prethodnih godina također</w:t>
      </w:r>
      <w:r>
        <w:t xml:space="preserve"> utječu na ukupnu razliku, no ne dovode do poremećaja likvidnosti.</w:t>
      </w:r>
    </w:p>
    <w:p w:rsidR="00D141C2" w:rsidRDefault="00D141C2"/>
    <w:p w:rsidR="00D141C2" w:rsidRDefault="0077168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8</w:t>
            </w:r>
          </w:p>
        </w:tc>
        <w:tc>
          <w:tcPr>
            <w:tcW w:w="3180" w:type="dxa"/>
            <w:tcMar>
              <w:top w:w="0" w:type="dxa"/>
              <w:bottom w:w="0" w:type="dxa"/>
            </w:tcMar>
            <w:vAlign w:val="center"/>
          </w:tcPr>
          <w:p w:rsidR="00D141C2" w:rsidRDefault="00771681">
            <w:pPr>
              <w:keepNext/>
              <w:keepLines/>
              <w:spacing w:after="0" w:line="240" w:lineRule="auto"/>
            </w:pPr>
            <w:r>
              <w:rPr>
                <w:sz w:val="18"/>
              </w:rPr>
              <w:t xml:space="preserve">Primici od financijske </w:t>
            </w:r>
            <w:r>
              <w:rPr>
                <w:sz w:val="18"/>
              </w:rPr>
              <w:t>imovine i zaduživanja (šifre 81+82+83+84+85)</w:t>
            </w:r>
          </w:p>
        </w:tc>
        <w:tc>
          <w:tcPr>
            <w:tcW w:w="700" w:type="dxa"/>
            <w:tcMar>
              <w:top w:w="0" w:type="dxa"/>
              <w:bottom w:w="0" w:type="dxa"/>
            </w:tcMar>
            <w:vAlign w:val="center"/>
          </w:tcPr>
          <w:p w:rsidR="00D141C2" w:rsidRDefault="00771681">
            <w:pPr>
              <w:keepNext/>
              <w:keepLines/>
              <w:spacing w:after="0" w:line="240" w:lineRule="auto"/>
            </w:pPr>
            <w:r>
              <w:rPr>
                <w:sz w:val="18"/>
              </w:rPr>
              <w:t>8</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bl>
    <w:p w:rsidR="00D141C2" w:rsidRDefault="00D141C2">
      <w:pPr>
        <w:spacing w:after="0"/>
      </w:pPr>
    </w:p>
    <w:p w:rsidR="00D141C2" w:rsidRDefault="00771681">
      <w:r>
        <w:t xml:space="preserve">Ostvareni primitci u izvještajnom razdoblju iznose 0,00 </w:t>
      </w:r>
      <w:proofErr w:type="spellStart"/>
      <w:r>
        <w:t>eur</w:t>
      </w:r>
      <w:proofErr w:type="spellEnd"/>
      <w:r>
        <w:t>, što je u skladu s prethodnom godinom. Nisu evidentirani povrati glavnice zajmova, primitci od izdavanja financijskih instrumenata, prodaje dionica ili zaduživanja, jer u tekućem razdoblju nije bi</w:t>
      </w:r>
      <w:r>
        <w:t>lo realiziranih aktivnosti u tim kategorijama.</w:t>
      </w:r>
    </w:p>
    <w:p w:rsidR="00D141C2" w:rsidRDefault="00D141C2"/>
    <w:p w:rsidR="00D141C2" w:rsidRDefault="0077168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5</w:t>
            </w:r>
          </w:p>
        </w:tc>
        <w:tc>
          <w:tcPr>
            <w:tcW w:w="3180" w:type="dxa"/>
            <w:tcMar>
              <w:top w:w="0" w:type="dxa"/>
              <w:bottom w:w="0" w:type="dxa"/>
            </w:tcMar>
            <w:vAlign w:val="center"/>
          </w:tcPr>
          <w:p w:rsidR="00D141C2" w:rsidRDefault="00771681">
            <w:pPr>
              <w:keepNext/>
              <w:keepLines/>
              <w:spacing w:after="0" w:line="240" w:lineRule="auto"/>
            </w:pPr>
            <w:r>
              <w:rPr>
                <w:sz w:val="18"/>
              </w:rPr>
              <w:t xml:space="preserve">Izdaci za financijsku imovinu i otplate </w:t>
            </w:r>
            <w:r>
              <w:rPr>
                <w:sz w:val="18"/>
              </w:rPr>
              <w:t>zajmova (šifre 51+52+53+54+55)</w:t>
            </w:r>
          </w:p>
        </w:tc>
        <w:tc>
          <w:tcPr>
            <w:tcW w:w="700" w:type="dxa"/>
            <w:tcMar>
              <w:top w:w="0" w:type="dxa"/>
              <w:bottom w:w="0" w:type="dxa"/>
            </w:tcMar>
            <w:vAlign w:val="center"/>
          </w:tcPr>
          <w:p w:rsidR="00D141C2" w:rsidRDefault="00771681">
            <w:pPr>
              <w:keepNext/>
              <w:keepLines/>
              <w:spacing w:after="0" w:line="240" w:lineRule="auto"/>
            </w:pPr>
            <w:r>
              <w:rPr>
                <w:sz w:val="18"/>
              </w:rPr>
              <w:t>5</w:t>
            </w:r>
          </w:p>
        </w:tc>
        <w:tc>
          <w:tcPr>
            <w:tcW w:w="1860" w:type="dxa"/>
            <w:tcMar>
              <w:top w:w="0" w:type="dxa"/>
              <w:bottom w:w="0" w:type="dxa"/>
            </w:tcMar>
            <w:vAlign w:val="center"/>
          </w:tcPr>
          <w:p w:rsidR="00D141C2" w:rsidRDefault="00771681">
            <w:pPr>
              <w:keepNext/>
              <w:keepLines/>
              <w:spacing w:after="0" w:line="240" w:lineRule="auto"/>
              <w:jc w:val="right"/>
            </w:pPr>
            <w:r>
              <w:rPr>
                <w:sz w:val="18"/>
              </w:rPr>
              <w:t>264.969,08</w:t>
            </w:r>
          </w:p>
        </w:tc>
        <w:tc>
          <w:tcPr>
            <w:tcW w:w="1860" w:type="dxa"/>
            <w:tcMar>
              <w:top w:w="0" w:type="dxa"/>
              <w:bottom w:w="0" w:type="dxa"/>
            </w:tcMar>
            <w:vAlign w:val="center"/>
          </w:tcPr>
          <w:p w:rsidR="00D141C2" w:rsidRDefault="00771681">
            <w:pPr>
              <w:keepNext/>
              <w:keepLines/>
              <w:spacing w:after="0" w:line="240" w:lineRule="auto"/>
              <w:jc w:val="right"/>
            </w:pPr>
            <w:r>
              <w:rPr>
                <w:sz w:val="18"/>
              </w:rPr>
              <w:t>264.969,08</w:t>
            </w:r>
          </w:p>
        </w:tc>
        <w:tc>
          <w:tcPr>
            <w:tcW w:w="700" w:type="dxa"/>
            <w:tcMar>
              <w:top w:w="0" w:type="dxa"/>
              <w:bottom w:w="0" w:type="dxa"/>
            </w:tcMar>
            <w:vAlign w:val="center"/>
          </w:tcPr>
          <w:p w:rsidR="00D141C2" w:rsidRDefault="00771681">
            <w:pPr>
              <w:keepNext/>
              <w:keepLines/>
              <w:spacing w:after="0" w:line="240" w:lineRule="auto"/>
              <w:jc w:val="right"/>
            </w:pPr>
            <w:r>
              <w:rPr>
                <w:sz w:val="18"/>
              </w:rPr>
              <w:t>100</w:t>
            </w:r>
          </w:p>
        </w:tc>
      </w:tr>
    </w:tbl>
    <w:p w:rsidR="00D141C2" w:rsidRDefault="00D141C2">
      <w:pPr>
        <w:spacing w:after="0"/>
      </w:pPr>
    </w:p>
    <w:p w:rsidR="00D141C2" w:rsidRDefault="00771681">
      <w:r>
        <w:t xml:space="preserve">Izdaci su u izvještajnom razdoblju iznosili 264.969,08 </w:t>
      </w:r>
      <w:proofErr w:type="spellStart"/>
      <w:r>
        <w:t>eur</w:t>
      </w:r>
      <w:proofErr w:type="spellEnd"/>
      <w:r>
        <w:t>. Glavnina izdataka odnosi se na otplatu glavnice primljenih kredita od tuzemnih kreditnih institucija izvan javnog sektora (šifra 5443) po kreditu za financiranje realizacije investicijskih projeka</w:t>
      </w:r>
      <w:r>
        <w:t xml:space="preserve">ta (izgradnja LC 46017 </w:t>
      </w:r>
      <w:proofErr w:type="spellStart"/>
      <w:r>
        <w:t>Prkovci</w:t>
      </w:r>
      <w:proofErr w:type="spellEnd"/>
      <w:r>
        <w:t xml:space="preserve"> (Ž4167) - </w:t>
      </w:r>
      <w:proofErr w:type="spellStart"/>
      <w:r>
        <w:t>B.Greda</w:t>
      </w:r>
      <w:proofErr w:type="spellEnd"/>
      <w:r>
        <w:t xml:space="preserve"> (D520), dok ostali izdaci nisu realizirani. Povećanje izdataka rezultat je planiranih otplata kredita, što je dovelo do manjka primitaka od financijske imovine u istom razdoblju.</w:t>
      </w:r>
    </w:p>
    <w:p w:rsidR="00D141C2" w:rsidRDefault="00D141C2"/>
    <w:p w:rsidR="00D141C2" w:rsidRDefault="00771681">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D141C2" w:rsidRDefault="00771681">
            <w:pPr>
              <w:keepNext/>
              <w:keepLines/>
              <w:spacing w:after="0" w:line="240" w:lineRule="auto"/>
            </w:pPr>
            <w:r>
              <w:rPr>
                <w:sz w:val="18"/>
              </w:rPr>
              <w:t>Y006</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1860" w:type="dxa"/>
            <w:tcMar>
              <w:top w:w="0" w:type="dxa"/>
              <w:bottom w:w="0" w:type="dxa"/>
            </w:tcMar>
            <w:vAlign w:val="center"/>
          </w:tcPr>
          <w:p w:rsidR="00D141C2" w:rsidRDefault="00771681">
            <w:pPr>
              <w:keepNext/>
              <w:keepLines/>
              <w:spacing w:after="0" w:line="240" w:lineRule="auto"/>
              <w:jc w:val="right"/>
            </w:pPr>
            <w:r>
              <w:rPr>
                <w:sz w:val="18"/>
              </w:rPr>
              <w:t>681.207,66</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bl>
    <w:p w:rsidR="00D141C2" w:rsidRDefault="00D141C2">
      <w:pPr>
        <w:spacing w:after="0"/>
      </w:pPr>
    </w:p>
    <w:p w:rsidR="00D141C2" w:rsidRDefault="00771681">
      <w:r>
        <w:t xml:space="preserve">Ukupni prihodi i primici u izvještajnom razdoblju iznose 8.963.201,46 </w:t>
      </w:r>
      <w:proofErr w:type="spellStart"/>
      <w:r>
        <w:t>eur</w:t>
      </w:r>
      <w:proofErr w:type="spellEnd"/>
      <w:r>
        <w:t xml:space="preserve">, dok su ukupni rashodi i izdaci 11.404.634,59 </w:t>
      </w:r>
      <w:proofErr w:type="spellStart"/>
      <w:r>
        <w:t>eur</w:t>
      </w:r>
      <w:proofErr w:type="spellEnd"/>
      <w:r>
        <w:t xml:space="preserve">, što rezultira manjkom prihoda i primitaka od 2.441.433,13 </w:t>
      </w:r>
      <w:proofErr w:type="spellStart"/>
      <w:r>
        <w:t>eur</w:t>
      </w:r>
      <w:proofErr w:type="spellEnd"/>
      <w:r>
        <w:t xml:space="preserve">. Uz prijenos viška prihoda poslovanja iz prethodne godine očituje se </w:t>
      </w:r>
      <w:r>
        <w:t xml:space="preserve">ostvarenje manjka u tekućoj godini koje iznosi 628.671,61 </w:t>
      </w:r>
      <w:proofErr w:type="spellStart"/>
      <w:r>
        <w:t>eur</w:t>
      </w:r>
      <w:proofErr w:type="spellEnd"/>
      <w:r>
        <w:t xml:space="preserve">. Manjak nastaje prvenstveno zbog potraživanja u tekućoj godini  koja nisu naplaćena od strane HC d.o.o..  Potraživanja se temelje na Ugovoru </w:t>
      </w:r>
      <w:r>
        <w:lastRenderedPageBreak/>
        <w:t>o financiranju projekta rekonstrukcije županijske ces</w:t>
      </w:r>
      <w:r>
        <w:t xml:space="preserve">te ŽC 4223 Otok (DC537) - Bošnjaci DC214 i Sporazumu o sufinanciranju i provedbi radova na sanaciji županijske ceste ŽC 4174 </w:t>
      </w:r>
      <w:proofErr w:type="spellStart"/>
      <w:r>
        <w:t>Opatovac</w:t>
      </w:r>
      <w:proofErr w:type="spellEnd"/>
      <w:r>
        <w:t xml:space="preserve"> - </w:t>
      </w:r>
      <w:proofErr w:type="spellStart"/>
      <w:r>
        <w:t>Lovas</w:t>
      </w:r>
      <w:proofErr w:type="spellEnd"/>
      <w:r>
        <w:t xml:space="preserve"> dok su radovi izvedeni i evidentirani u rashode poslovanja.</w:t>
      </w:r>
    </w:p>
    <w:p w:rsidR="00D141C2" w:rsidRDefault="00D141C2"/>
    <w:p w:rsidR="00D141C2" w:rsidRDefault="0077168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w:t>
            </w:r>
            <w:r>
              <w:rPr>
                <w:b/>
                <w:sz w:val="18"/>
              </w:rPr>
              <w:t>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19</w:t>
            </w:r>
          </w:p>
        </w:tc>
        <w:tc>
          <w:tcPr>
            <w:tcW w:w="3180" w:type="dxa"/>
            <w:tcMar>
              <w:top w:w="0" w:type="dxa"/>
              <w:bottom w:w="0" w:type="dxa"/>
            </w:tcMar>
            <w:vAlign w:val="center"/>
          </w:tcPr>
          <w:p w:rsidR="00D141C2" w:rsidRDefault="00771681">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D141C2" w:rsidRDefault="00771681">
            <w:pPr>
              <w:keepNext/>
              <w:keepLines/>
              <w:spacing w:after="0" w:line="240" w:lineRule="auto"/>
            </w:pPr>
            <w:r>
              <w:rPr>
                <w:sz w:val="18"/>
              </w:rPr>
              <w:t>19</w:t>
            </w:r>
          </w:p>
        </w:tc>
        <w:tc>
          <w:tcPr>
            <w:tcW w:w="1860" w:type="dxa"/>
            <w:tcMar>
              <w:top w:w="0" w:type="dxa"/>
              <w:bottom w:w="0" w:type="dxa"/>
            </w:tcMar>
            <w:vAlign w:val="center"/>
          </w:tcPr>
          <w:p w:rsidR="00D141C2" w:rsidRDefault="00771681">
            <w:pPr>
              <w:keepNext/>
              <w:keepLines/>
              <w:spacing w:after="0" w:line="240" w:lineRule="auto"/>
              <w:jc w:val="right"/>
            </w:pPr>
            <w:r>
              <w:rPr>
                <w:sz w:val="18"/>
              </w:rPr>
              <w:t>37.092,76</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0</w:t>
            </w:r>
          </w:p>
        </w:tc>
      </w:tr>
    </w:tbl>
    <w:p w:rsidR="00D141C2" w:rsidRDefault="00D141C2">
      <w:pPr>
        <w:spacing w:after="0"/>
      </w:pPr>
    </w:p>
    <w:p w:rsidR="00D141C2" w:rsidRDefault="00771681">
      <w:r>
        <w:t>Za razliku od prethodne godine u izvještajnom razdoblju nisu evidentirani rashodi budućih razdoblja niti nedospjela naplata prihoda, što ukazuje na realizaciju planiranih obveza i izostanak novih vremenskih razgraničenja.</w:t>
      </w:r>
    </w:p>
    <w:p w:rsidR="00D141C2" w:rsidRDefault="00D141C2"/>
    <w:p w:rsidR="00D141C2" w:rsidRDefault="0077168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11</w:t>
            </w:r>
          </w:p>
        </w:tc>
        <w:tc>
          <w:tcPr>
            <w:tcW w:w="3180" w:type="dxa"/>
            <w:tcMar>
              <w:top w:w="0" w:type="dxa"/>
              <w:bottom w:w="0" w:type="dxa"/>
            </w:tcMar>
            <w:vAlign w:val="center"/>
          </w:tcPr>
          <w:p w:rsidR="00D141C2" w:rsidRDefault="00771681">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rsidR="00D141C2" w:rsidRDefault="00771681">
            <w:pPr>
              <w:keepNext/>
              <w:keepLines/>
              <w:spacing w:after="0" w:line="240" w:lineRule="auto"/>
            </w:pPr>
            <w:r>
              <w:rPr>
                <w:sz w:val="18"/>
              </w:rPr>
              <w:t>11P</w:t>
            </w:r>
          </w:p>
        </w:tc>
        <w:tc>
          <w:tcPr>
            <w:tcW w:w="1860" w:type="dxa"/>
            <w:tcMar>
              <w:top w:w="0" w:type="dxa"/>
              <w:bottom w:w="0" w:type="dxa"/>
            </w:tcMar>
            <w:vAlign w:val="center"/>
          </w:tcPr>
          <w:p w:rsidR="00D141C2" w:rsidRDefault="00771681">
            <w:pPr>
              <w:keepNext/>
              <w:keepLines/>
              <w:spacing w:after="0" w:line="240" w:lineRule="auto"/>
              <w:jc w:val="right"/>
            </w:pPr>
            <w:r>
              <w:rPr>
                <w:sz w:val="18"/>
              </w:rPr>
              <w:t>2.638.213,67</w:t>
            </w:r>
          </w:p>
        </w:tc>
        <w:tc>
          <w:tcPr>
            <w:tcW w:w="1860" w:type="dxa"/>
            <w:tcMar>
              <w:top w:w="0" w:type="dxa"/>
              <w:bottom w:w="0" w:type="dxa"/>
            </w:tcMar>
            <w:vAlign w:val="center"/>
          </w:tcPr>
          <w:p w:rsidR="00D141C2" w:rsidRDefault="00771681">
            <w:pPr>
              <w:keepNext/>
              <w:keepLines/>
              <w:spacing w:after="0" w:line="240" w:lineRule="auto"/>
              <w:jc w:val="right"/>
            </w:pPr>
            <w:r>
              <w:rPr>
                <w:sz w:val="18"/>
              </w:rPr>
              <w:t>2.565.575,24</w:t>
            </w:r>
          </w:p>
        </w:tc>
        <w:tc>
          <w:tcPr>
            <w:tcW w:w="700" w:type="dxa"/>
            <w:tcMar>
              <w:top w:w="0" w:type="dxa"/>
              <w:bottom w:w="0" w:type="dxa"/>
            </w:tcMar>
            <w:vAlign w:val="center"/>
          </w:tcPr>
          <w:p w:rsidR="00D141C2" w:rsidRDefault="00771681">
            <w:pPr>
              <w:keepNext/>
              <w:keepLines/>
              <w:spacing w:after="0" w:line="240" w:lineRule="auto"/>
              <w:jc w:val="right"/>
            </w:pPr>
            <w:r>
              <w:rPr>
                <w:sz w:val="18"/>
              </w:rPr>
              <w:t>97,2</w:t>
            </w:r>
          </w:p>
        </w:tc>
      </w:tr>
    </w:tbl>
    <w:p w:rsidR="00D141C2" w:rsidRDefault="00D141C2">
      <w:pPr>
        <w:spacing w:after="0"/>
      </w:pPr>
    </w:p>
    <w:p w:rsidR="00D141C2" w:rsidRDefault="00771681">
      <w:r>
        <w:t xml:space="preserve">Blago smanjenje sredstava s 2.638.213,67 </w:t>
      </w:r>
      <w:proofErr w:type="spellStart"/>
      <w:r>
        <w:t>eur</w:t>
      </w:r>
      <w:proofErr w:type="spellEnd"/>
      <w:r>
        <w:t xml:space="preserve"> na 2.565.575,24 </w:t>
      </w:r>
      <w:proofErr w:type="spellStart"/>
      <w:r>
        <w:t>eur</w:t>
      </w:r>
      <w:proofErr w:type="spellEnd"/>
      <w:r>
        <w:t xml:space="preserve"> objašnjava se većim odljevima sredstava tijekom razdoblja uvažavajući povećanje izvedenih radova te plaćanja nastalih obveza u tekućoj godini.</w:t>
      </w:r>
      <w:r>
        <w:br/>
      </w:r>
    </w:p>
    <w:p w:rsidR="00D141C2" w:rsidRDefault="00D141C2"/>
    <w:p w:rsidR="00D141C2" w:rsidRDefault="0077168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w:t>
            </w:r>
            <w:r>
              <w:rPr>
                <w:b/>
                <w:sz w:val="18"/>
              </w:rPr>
              <w:t>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11-</w:t>
            </w:r>
            <w:proofErr w:type="spellStart"/>
            <w:r>
              <w:rPr>
                <w:sz w:val="18"/>
              </w:rPr>
              <w:t>dugov</w:t>
            </w:r>
            <w:proofErr w:type="spellEnd"/>
            <w:r>
              <w:rPr>
                <w:sz w:val="18"/>
              </w:rPr>
              <w:t>.</w:t>
            </w:r>
          </w:p>
        </w:tc>
        <w:tc>
          <w:tcPr>
            <w:tcW w:w="3180" w:type="dxa"/>
            <w:tcMar>
              <w:top w:w="0" w:type="dxa"/>
              <w:bottom w:w="0" w:type="dxa"/>
            </w:tcMar>
            <w:vAlign w:val="center"/>
          </w:tcPr>
          <w:p w:rsidR="00D141C2" w:rsidRDefault="00771681">
            <w:pPr>
              <w:keepNext/>
              <w:keepLines/>
              <w:spacing w:after="0" w:line="240" w:lineRule="auto"/>
            </w:pPr>
            <w:r>
              <w:rPr>
                <w:sz w:val="18"/>
              </w:rPr>
              <w:t>Ukupni priljevi na novčane račune i blagajne</w:t>
            </w:r>
          </w:p>
        </w:tc>
        <w:tc>
          <w:tcPr>
            <w:tcW w:w="700" w:type="dxa"/>
            <w:tcMar>
              <w:top w:w="0" w:type="dxa"/>
              <w:bottom w:w="0" w:type="dxa"/>
            </w:tcMar>
            <w:vAlign w:val="center"/>
          </w:tcPr>
          <w:p w:rsidR="00D141C2" w:rsidRDefault="00771681">
            <w:pPr>
              <w:keepNext/>
              <w:keepLines/>
              <w:spacing w:after="0" w:line="240" w:lineRule="auto"/>
            </w:pPr>
            <w:r>
              <w:rPr>
                <w:sz w:val="18"/>
              </w:rPr>
              <w:t>11-</w:t>
            </w:r>
            <w:proofErr w:type="spellStart"/>
            <w:r>
              <w:rPr>
                <w:sz w:val="18"/>
              </w:rPr>
              <w:t>dugov</w:t>
            </w:r>
            <w:proofErr w:type="spellEnd"/>
            <w:r>
              <w:rPr>
                <w:sz w:val="18"/>
              </w:rPr>
              <w:t>.</w:t>
            </w:r>
          </w:p>
        </w:tc>
        <w:tc>
          <w:tcPr>
            <w:tcW w:w="1860" w:type="dxa"/>
            <w:tcMar>
              <w:top w:w="0" w:type="dxa"/>
              <w:bottom w:w="0" w:type="dxa"/>
            </w:tcMar>
            <w:vAlign w:val="center"/>
          </w:tcPr>
          <w:p w:rsidR="00D141C2" w:rsidRDefault="00771681">
            <w:pPr>
              <w:keepNext/>
              <w:keepLines/>
              <w:spacing w:after="0" w:line="240" w:lineRule="auto"/>
              <w:jc w:val="right"/>
            </w:pPr>
            <w:r>
              <w:rPr>
                <w:sz w:val="18"/>
              </w:rPr>
              <w:t>8.871.039,76</w:t>
            </w:r>
          </w:p>
        </w:tc>
        <w:tc>
          <w:tcPr>
            <w:tcW w:w="1860" w:type="dxa"/>
            <w:tcMar>
              <w:top w:w="0" w:type="dxa"/>
              <w:bottom w:w="0" w:type="dxa"/>
            </w:tcMar>
            <w:vAlign w:val="center"/>
          </w:tcPr>
          <w:p w:rsidR="00D141C2" w:rsidRDefault="00771681">
            <w:pPr>
              <w:keepNext/>
              <w:keepLines/>
              <w:spacing w:after="0" w:line="240" w:lineRule="auto"/>
              <w:jc w:val="right"/>
            </w:pPr>
            <w:r>
              <w:rPr>
                <w:sz w:val="18"/>
              </w:rPr>
              <w:t>9.009.540,57</w:t>
            </w:r>
          </w:p>
        </w:tc>
        <w:tc>
          <w:tcPr>
            <w:tcW w:w="700" w:type="dxa"/>
            <w:tcMar>
              <w:top w:w="0" w:type="dxa"/>
              <w:bottom w:w="0" w:type="dxa"/>
            </w:tcMar>
            <w:vAlign w:val="center"/>
          </w:tcPr>
          <w:p w:rsidR="00D141C2" w:rsidRDefault="00771681">
            <w:pPr>
              <w:keepNext/>
              <w:keepLines/>
              <w:spacing w:after="0" w:line="240" w:lineRule="auto"/>
              <w:jc w:val="right"/>
            </w:pPr>
            <w:r>
              <w:rPr>
                <w:sz w:val="18"/>
              </w:rPr>
              <w:t>101,6</w:t>
            </w:r>
          </w:p>
        </w:tc>
      </w:tr>
    </w:tbl>
    <w:p w:rsidR="00D141C2" w:rsidRDefault="00D141C2">
      <w:pPr>
        <w:spacing w:after="0"/>
      </w:pPr>
    </w:p>
    <w:p w:rsidR="00D141C2" w:rsidRDefault="00771681">
      <w:r>
        <w:t xml:space="preserve">Ukupni priljevi na novčane račune i blagajne iznose 9.009.540,57  </w:t>
      </w:r>
      <w:proofErr w:type="spellStart"/>
      <w:r>
        <w:t>eur</w:t>
      </w:r>
      <w:proofErr w:type="spellEnd"/>
      <w:r>
        <w:t xml:space="preserve">, dok su u usporedivom razdoblju prethodne godine iznosili 8.871.039,76 </w:t>
      </w:r>
      <w:proofErr w:type="spellStart"/>
      <w:r>
        <w:t>eur</w:t>
      </w:r>
      <w:proofErr w:type="spellEnd"/>
      <w:r>
        <w:t xml:space="preserve">. Povećanje priljeva od 138.500,81 </w:t>
      </w:r>
      <w:proofErr w:type="spellStart"/>
      <w:r>
        <w:t>eur</w:t>
      </w:r>
      <w:proofErr w:type="spellEnd"/>
      <w:r>
        <w:t xml:space="preserve"> (≈1,54 %) rezultat je ostvarenih primitaka po osnovi potraživanja od stra</w:t>
      </w:r>
      <w:r>
        <w:t xml:space="preserve">ne HC d.o.o. po Ugovoru o financiranju projekta rekonstrukcije županijske ceste ŽC 4223 Otok (DC537) - Bošnjaci DC214 i Sporazumu o sufinanciranju i provedbi radova na sanaciji županijske ceste ŽC 4174 </w:t>
      </w:r>
      <w:proofErr w:type="spellStart"/>
      <w:r>
        <w:t>Opatovac</w:t>
      </w:r>
      <w:proofErr w:type="spellEnd"/>
      <w:r>
        <w:t xml:space="preserve"> - </w:t>
      </w:r>
      <w:proofErr w:type="spellStart"/>
      <w:r>
        <w:t>Lovas</w:t>
      </w:r>
      <w:proofErr w:type="spellEnd"/>
      <w:r>
        <w:t>.</w:t>
      </w:r>
    </w:p>
    <w:p w:rsidR="00D141C2" w:rsidRDefault="00D141C2"/>
    <w:p w:rsidR="00D141C2" w:rsidRDefault="00771681">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11-</w:t>
            </w:r>
            <w:proofErr w:type="spellStart"/>
            <w:r>
              <w:rPr>
                <w:sz w:val="18"/>
              </w:rPr>
              <w:t>potraž</w:t>
            </w:r>
            <w:proofErr w:type="spellEnd"/>
            <w:r>
              <w:rPr>
                <w:sz w:val="18"/>
              </w:rPr>
              <w:t>.</w:t>
            </w:r>
          </w:p>
        </w:tc>
        <w:tc>
          <w:tcPr>
            <w:tcW w:w="3180" w:type="dxa"/>
            <w:tcMar>
              <w:top w:w="0" w:type="dxa"/>
              <w:bottom w:w="0" w:type="dxa"/>
            </w:tcMar>
            <w:vAlign w:val="center"/>
          </w:tcPr>
          <w:p w:rsidR="00D141C2" w:rsidRDefault="00771681">
            <w:pPr>
              <w:keepNext/>
              <w:keepLines/>
              <w:spacing w:after="0" w:line="240" w:lineRule="auto"/>
            </w:pPr>
            <w:r>
              <w:rPr>
                <w:sz w:val="18"/>
              </w:rPr>
              <w:t>Ukupni odljevi s novčanih računa i blagajni</w:t>
            </w:r>
          </w:p>
        </w:tc>
        <w:tc>
          <w:tcPr>
            <w:tcW w:w="700" w:type="dxa"/>
            <w:tcMar>
              <w:top w:w="0" w:type="dxa"/>
              <w:bottom w:w="0" w:type="dxa"/>
            </w:tcMar>
            <w:vAlign w:val="center"/>
          </w:tcPr>
          <w:p w:rsidR="00D141C2" w:rsidRDefault="00771681">
            <w:pPr>
              <w:keepNext/>
              <w:keepLines/>
              <w:spacing w:after="0" w:line="240" w:lineRule="auto"/>
            </w:pPr>
            <w:r>
              <w:rPr>
                <w:sz w:val="18"/>
              </w:rPr>
              <w:t>11-</w:t>
            </w:r>
            <w:proofErr w:type="spellStart"/>
            <w:r>
              <w:rPr>
                <w:sz w:val="18"/>
              </w:rPr>
              <w:t>potraž</w:t>
            </w:r>
            <w:proofErr w:type="spellEnd"/>
            <w:r>
              <w:rPr>
                <w:sz w:val="18"/>
              </w:rPr>
              <w:t>.</w:t>
            </w:r>
          </w:p>
        </w:tc>
        <w:tc>
          <w:tcPr>
            <w:tcW w:w="1860" w:type="dxa"/>
            <w:tcMar>
              <w:top w:w="0" w:type="dxa"/>
              <w:bottom w:w="0" w:type="dxa"/>
            </w:tcMar>
            <w:vAlign w:val="center"/>
          </w:tcPr>
          <w:p w:rsidR="00D141C2" w:rsidRDefault="00771681">
            <w:pPr>
              <w:keepNext/>
              <w:keepLines/>
              <w:spacing w:after="0" w:line="240" w:lineRule="auto"/>
              <w:jc w:val="right"/>
            </w:pPr>
            <w:r>
              <w:rPr>
                <w:sz w:val="18"/>
              </w:rPr>
              <w:t>8.943.678,19</w:t>
            </w:r>
          </w:p>
        </w:tc>
        <w:tc>
          <w:tcPr>
            <w:tcW w:w="1860" w:type="dxa"/>
            <w:tcMar>
              <w:top w:w="0" w:type="dxa"/>
              <w:bottom w:w="0" w:type="dxa"/>
            </w:tcMar>
            <w:vAlign w:val="center"/>
          </w:tcPr>
          <w:p w:rsidR="00D141C2" w:rsidRDefault="00771681">
            <w:pPr>
              <w:keepNext/>
              <w:keepLines/>
              <w:spacing w:after="0" w:line="240" w:lineRule="auto"/>
              <w:jc w:val="right"/>
            </w:pPr>
            <w:r>
              <w:rPr>
                <w:sz w:val="18"/>
              </w:rPr>
              <w:t>10.808.358,99</w:t>
            </w:r>
          </w:p>
        </w:tc>
        <w:tc>
          <w:tcPr>
            <w:tcW w:w="700" w:type="dxa"/>
            <w:tcMar>
              <w:top w:w="0" w:type="dxa"/>
              <w:bottom w:w="0" w:type="dxa"/>
            </w:tcMar>
            <w:vAlign w:val="center"/>
          </w:tcPr>
          <w:p w:rsidR="00D141C2" w:rsidRDefault="00771681">
            <w:pPr>
              <w:keepNext/>
              <w:keepLines/>
              <w:spacing w:after="0" w:line="240" w:lineRule="auto"/>
              <w:jc w:val="right"/>
            </w:pPr>
            <w:r>
              <w:rPr>
                <w:sz w:val="18"/>
              </w:rPr>
              <w:t>120,8</w:t>
            </w:r>
          </w:p>
        </w:tc>
      </w:tr>
    </w:tbl>
    <w:p w:rsidR="00D141C2" w:rsidRDefault="00D141C2">
      <w:pPr>
        <w:spacing w:after="0"/>
      </w:pPr>
    </w:p>
    <w:p w:rsidR="00D141C2" w:rsidRDefault="00771681">
      <w:r>
        <w:t xml:space="preserve">Odljev sredstava u 2025. godini povećan je u odnosu na prethodnu godinu (10.808.358,99 </w:t>
      </w:r>
      <w:proofErr w:type="spellStart"/>
      <w:r>
        <w:t>eur</w:t>
      </w:r>
      <w:proofErr w:type="spellEnd"/>
      <w:r>
        <w:t xml:space="preserve"> naspram 8.943.678,19 </w:t>
      </w:r>
      <w:proofErr w:type="spellStart"/>
      <w:r>
        <w:t>eur</w:t>
      </w:r>
      <w:proofErr w:type="spellEnd"/>
      <w:r>
        <w:t>), što se može povezati s većim realiziranim projektima i kapitalnim izdacima.</w:t>
      </w:r>
    </w:p>
    <w:p w:rsidR="00D141C2" w:rsidRDefault="00D141C2"/>
    <w:p w:rsidR="00D141C2" w:rsidRDefault="0077168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11</w:t>
            </w:r>
          </w:p>
        </w:tc>
        <w:tc>
          <w:tcPr>
            <w:tcW w:w="3180" w:type="dxa"/>
            <w:tcMar>
              <w:top w:w="0" w:type="dxa"/>
              <w:bottom w:w="0" w:type="dxa"/>
            </w:tcMar>
            <w:vAlign w:val="center"/>
          </w:tcPr>
          <w:p w:rsidR="00D141C2" w:rsidRDefault="00771681">
            <w:pPr>
              <w:keepNext/>
              <w:keepLines/>
              <w:spacing w:after="0" w:line="240" w:lineRule="auto"/>
            </w:pPr>
            <w:r>
              <w:rPr>
                <w:sz w:val="18"/>
              </w:rPr>
              <w:t>Stanje novčanih sredstava na kraju izvještajnog razdoblja (šifre 11P + '11-</w:t>
            </w:r>
            <w:proofErr w:type="spellStart"/>
            <w:r>
              <w:rPr>
                <w:sz w:val="18"/>
              </w:rPr>
              <w:t>dugov</w:t>
            </w:r>
            <w:proofErr w:type="spellEnd"/>
            <w:r>
              <w:rPr>
                <w:sz w:val="18"/>
              </w:rPr>
              <w:t>.' - '11-</w:t>
            </w:r>
            <w:proofErr w:type="spellStart"/>
            <w:r>
              <w:rPr>
                <w:sz w:val="18"/>
              </w:rPr>
              <w:t>potraž</w:t>
            </w:r>
            <w:proofErr w:type="spellEnd"/>
            <w:r>
              <w:rPr>
                <w:sz w:val="18"/>
              </w:rPr>
              <w:t>.')</w:t>
            </w:r>
          </w:p>
        </w:tc>
        <w:tc>
          <w:tcPr>
            <w:tcW w:w="700" w:type="dxa"/>
            <w:tcMar>
              <w:top w:w="0" w:type="dxa"/>
              <w:bottom w:w="0" w:type="dxa"/>
            </w:tcMar>
            <w:vAlign w:val="center"/>
          </w:tcPr>
          <w:p w:rsidR="00D141C2" w:rsidRDefault="00771681">
            <w:pPr>
              <w:keepNext/>
              <w:keepLines/>
              <w:spacing w:after="0" w:line="240" w:lineRule="auto"/>
            </w:pPr>
            <w:r>
              <w:rPr>
                <w:sz w:val="18"/>
              </w:rPr>
              <w:t>11K</w:t>
            </w:r>
          </w:p>
        </w:tc>
        <w:tc>
          <w:tcPr>
            <w:tcW w:w="1860" w:type="dxa"/>
            <w:tcMar>
              <w:top w:w="0" w:type="dxa"/>
              <w:bottom w:w="0" w:type="dxa"/>
            </w:tcMar>
            <w:vAlign w:val="center"/>
          </w:tcPr>
          <w:p w:rsidR="00D141C2" w:rsidRDefault="00771681">
            <w:pPr>
              <w:keepNext/>
              <w:keepLines/>
              <w:spacing w:after="0" w:line="240" w:lineRule="auto"/>
              <w:jc w:val="right"/>
            </w:pPr>
            <w:r>
              <w:rPr>
                <w:sz w:val="18"/>
              </w:rPr>
              <w:t>2.565.575,24</w:t>
            </w:r>
          </w:p>
        </w:tc>
        <w:tc>
          <w:tcPr>
            <w:tcW w:w="1860" w:type="dxa"/>
            <w:tcMar>
              <w:top w:w="0" w:type="dxa"/>
              <w:bottom w:w="0" w:type="dxa"/>
            </w:tcMar>
            <w:vAlign w:val="center"/>
          </w:tcPr>
          <w:p w:rsidR="00D141C2" w:rsidRDefault="00771681">
            <w:pPr>
              <w:keepNext/>
              <w:keepLines/>
              <w:spacing w:after="0" w:line="240" w:lineRule="auto"/>
              <w:jc w:val="right"/>
            </w:pPr>
            <w:r>
              <w:rPr>
                <w:sz w:val="18"/>
              </w:rPr>
              <w:t>766.756,82</w:t>
            </w:r>
          </w:p>
        </w:tc>
        <w:tc>
          <w:tcPr>
            <w:tcW w:w="700" w:type="dxa"/>
            <w:tcMar>
              <w:top w:w="0" w:type="dxa"/>
              <w:bottom w:w="0" w:type="dxa"/>
            </w:tcMar>
            <w:vAlign w:val="center"/>
          </w:tcPr>
          <w:p w:rsidR="00D141C2" w:rsidRDefault="00771681">
            <w:pPr>
              <w:keepNext/>
              <w:keepLines/>
              <w:spacing w:after="0" w:line="240" w:lineRule="auto"/>
              <w:jc w:val="right"/>
            </w:pPr>
            <w:r>
              <w:rPr>
                <w:sz w:val="18"/>
              </w:rPr>
              <w:t>29,9</w:t>
            </w:r>
          </w:p>
        </w:tc>
      </w:tr>
    </w:tbl>
    <w:p w:rsidR="00D141C2" w:rsidRDefault="00D141C2">
      <w:pPr>
        <w:spacing w:after="0"/>
      </w:pPr>
    </w:p>
    <w:p w:rsidR="00D141C2" w:rsidRDefault="00771681">
      <w:r>
        <w:t xml:space="preserve">Znatno smanjenje krajnjeg stanja (766.756,82 </w:t>
      </w:r>
      <w:proofErr w:type="spellStart"/>
      <w:r>
        <w:t>eur</w:t>
      </w:r>
      <w:proofErr w:type="spellEnd"/>
      <w:r>
        <w:t>) rezultat je povećanih odljeva u odnosu na primitke, posebno kapitalnih pomoći i izvršenih investicija.</w:t>
      </w:r>
    </w:p>
    <w:p w:rsidR="00D141C2" w:rsidRDefault="00D141C2"/>
    <w:p w:rsidR="00D141C2" w:rsidRDefault="00771681">
      <w:pPr>
        <w:keepNext/>
        <w:spacing w:line="240" w:lineRule="auto"/>
        <w:jc w:val="center"/>
      </w:pPr>
      <w:r>
        <w:rPr>
          <w:b/>
          <w:sz w:val="28"/>
        </w:rPr>
        <w:t>Bilanca</w:t>
      </w:r>
    </w:p>
    <w:p w:rsidR="00D141C2" w:rsidRDefault="0077168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w:t>
            </w:r>
            <w:r>
              <w:rPr>
                <w:b/>
                <w:sz w:val="18"/>
              </w:rPr>
              <w:t>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sz w:val="18"/>
              </w:rPr>
              <w:t>IMOVINA (šifre B002+1)</w:t>
            </w:r>
          </w:p>
        </w:tc>
        <w:tc>
          <w:tcPr>
            <w:tcW w:w="700" w:type="dxa"/>
            <w:tcMar>
              <w:top w:w="0" w:type="dxa"/>
              <w:bottom w:w="0" w:type="dxa"/>
            </w:tcMar>
            <w:vAlign w:val="center"/>
          </w:tcPr>
          <w:p w:rsidR="00D141C2" w:rsidRDefault="00771681">
            <w:pPr>
              <w:keepNext/>
              <w:keepLines/>
              <w:spacing w:after="0" w:line="240" w:lineRule="auto"/>
            </w:pPr>
            <w:r>
              <w:rPr>
                <w:sz w:val="18"/>
              </w:rPr>
              <w:t>B001</w:t>
            </w:r>
          </w:p>
        </w:tc>
        <w:tc>
          <w:tcPr>
            <w:tcW w:w="1860" w:type="dxa"/>
            <w:tcMar>
              <w:top w:w="0" w:type="dxa"/>
              <w:bottom w:w="0" w:type="dxa"/>
            </w:tcMar>
            <w:vAlign w:val="center"/>
          </w:tcPr>
          <w:p w:rsidR="00D141C2" w:rsidRDefault="00771681">
            <w:pPr>
              <w:keepNext/>
              <w:keepLines/>
              <w:spacing w:after="0" w:line="240" w:lineRule="auto"/>
              <w:jc w:val="right"/>
            </w:pPr>
            <w:r>
              <w:rPr>
                <w:sz w:val="18"/>
              </w:rPr>
              <w:t>16.578.461,76</w:t>
            </w:r>
          </w:p>
        </w:tc>
        <w:tc>
          <w:tcPr>
            <w:tcW w:w="1860" w:type="dxa"/>
            <w:tcMar>
              <w:top w:w="0" w:type="dxa"/>
              <w:bottom w:w="0" w:type="dxa"/>
            </w:tcMar>
            <w:vAlign w:val="center"/>
          </w:tcPr>
          <w:p w:rsidR="00D141C2" w:rsidRDefault="00771681">
            <w:pPr>
              <w:keepNext/>
              <w:keepLines/>
              <w:spacing w:after="0" w:line="240" w:lineRule="auto"/>
              <w:jc w:val="right"/>
            </w:pPr>
            <w:r>
              <w:rPr>
                <w:sz w:val="18"/>
              </w:rPr>
              <w:t>17.086.037,47</w:t>
            </w:r>
          </w:p>
        </w:tc>
        <w:tc>
          <w:tcPr>
            <w:tcW w:w="700" w:type="dxa"/>
            <w:tcMar>
              <w:top w:w="0" w:type="dxa"/>
              <w:bottom w:w="0" w:type="dxa"/>
            </w:tcMar>
            <w:vAlign w:val="center"/>
          </w:tcPr>
          <w:p w:rsidR="00D141C2" w:rsidRDefault="00771681">
            <w:pPr>
              <w:keepNext/>
              <w:keepLines/>
              <w:spacing w:after="0" w:line="240" w:lineRule="auto"/>
              <w:jc w:val="right"/>
            </w:pPr>
            <w:r>
              <w:rPr>
                <w:sz w:val="18"/>
              </w:rPr>
              <w:t>103,1</w:t>
            </w:r>
          </w:p>
        </w:tc>
      </w:tr>
    </w:tbl>
    <w:p w:rsidR="00D141C2" w:rsidRDefault="00D141C2">
      <w:pPr>
        <w:spacing w:after="0"/>
      </w:pPr>
    </w:p>
    <w:p w:rsidR="00D141C2" w:rsidRDefault="00771681">
      <w:r>
        <w:t>Ukupna imovina na dan 31. prosinca iznosi 17.086.037,47 EUR i povećana je za 507.575,71 EUR odnosno 3,1% u odnosu na početak godine. Povećanje se najvećim dijelom odnosi na rast nefinancijske imovine.</w:t>
      </w:r>
    </w:p>
    <w:p w:rsidR="00D141C2" w:rsidRDefault="00D141C2"/>
    <w:p w:rsidR="00D141C2" w:rsidRDefault="00771681">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w:t>
            </w:r>
            <w:r>
              <w:rPr>
                <w:b/>
                <w:sz w:val="18"/>
              </w:rPr>
              <w:t>nje 1. siječnja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0</w:t>
            </w:r>
          </w:p>
        </w:tc>
        <w:tc>
          <w:tcPr>
            <w:tcW w:w="3180" w:type="dxa"/>
            <w:tcMar>
              <w:top w:w="0" w:type="dxa"/>
              <w:bottom w:w="0" w:type="dxa"/>
            </w:tcMar>
            <w:vAlign w:val="center"/>
          </w:tcPr>
          <w:p w:rsidR="00D141C2" w:rsidRDefault="00771681">
            <w:pPr>
              <w:keepNext/>
              <w:keepLines/>
              <w:spacing w:after="0" w:line="240" w:lineRule="auto"/>
            </w:pPr>
            <w:r>
              <w:rPr>
                <w:sz w:val="18"/>
              </w:rPr>
              <w:t>Nefinancijska imovina (šifre 01+02+03+04+05+06)</w:t>
            </w:r>
          </w:p>
        </w:tc>
        <w:tc>
          <w:tcPr>
            <w:tcW w:w="700" w:type="dxa"/>
            <w:tcMar>
              <w:top w:w="0" w:type="dxa"/>
              <w:bottom w:w="0" w:type="dxa"/>
            </w:tcMar>
            <w:vAlign w:val="center"/>
          </w:tcPr>
          <w:p w:rsidR="00D141C2" w:rsidRDefault="00771681">
            <w:pPr>
              <w:keepNext/>
              <w:keepLines/>
              <w:spacing w:after="0" w:line="240" w:lineRule="auto"/>
            </w:pPr>
            <w:r>
              <w:rPr>
                <w:sz w:val="18"/>
              </w:rPr>
              <w:t>B002</w:t>
            </w:r>
          </w:p>
        </w:tc>
        <w:tc>
          <w:tcPr>
            <w:tcW w:w="1860" w:type="dxa"/>
            <w:tcMar>
              <w:top w:w="0" w:type="dxa"/>
              <w:bottom w:w="0" w:type="dxa"/>
            </w:tcMar>
            <w:vAlign w:val="center"/>
          </w:tcPr>
          <w:p w:rsidR="00D141C2" w:rsidRDefault="00771681">
            <w:pPr>
              <w:keepNext/>
              <w:keepLines/>
              <w:spacing w:after="0" w:line="240" w:lineRule="auto"/>
              <w:jc w:val="right"/>
            </w:pPr>
            <w:r>
              <w:rPr>
                <w:sz w:val="18"/>
              </w:rPr>
              <w:t>13.157.158,06</w:t>
            </w:r>
          </w:p>
        </w:tc>
        <w:tc>
          <w:tcPr>
            <w:tcW w:w="1860" w:type="dxa"/>
            <w:tcMar>
              <w:top w:w="0" w:type="dxa"/>
              <w:bottom w:w="0" w:type="dxa"/>
            </w:tcMar>
            <w:vAlign w:val="center"/>
          </w:tcPr>
          <w:p w:rsidR="00D141C2" w:rsidRDefault="00771681">
            <w:pPr>
              <w:keepNext/>
              <w:keepLines/>
              <w:spacing w:after="0" w:line="240" w:lineRule="auto"/>
              <w:jc w:val="right"/>
            </w:pPr>
            <w:r>
              <w:rPr>
                <w:sz w:val="18"/>
              </w:rPr>
              <w:t>13.784.705,68</w:t>
            </w:r>
          </w:p>
        </w:tc>
        <w:tc>
          <w:tcPr>
            <w:tcW w:w="700" w:type="dxa"/>
            <w:tcMar>
              <w:top w:w="0" w:type="dxa"/>
              <w:bottom w:w="0" w:type="dxa"/>
            </w:tcMar>
            <w:vAlign w:val="center"/>
          </w:tcPr>
          <w:p w:rsidR="00D141C2" w:rsidRDefault="00771681">
            <w:pPr>
              <w:keepNext/>
              <w:keepLines/>
              <w:spacing w:after="0" w:line="240" w:lineRule="auto"/>
              <w:jc w:val="right"/>
            </w:pPr>
            <w:r>
              <w:rPr>
                <w:sz w:val="18"/>
              </w:rPr>
              <w:t>104,8</w:t>
            </w:r>
          </w:p>
        </w:tc>
      </w:tr>
    </w:tbl>
    <w:p w:rsidR="00D141C2" w:rsidRDefault="00D141C2">
      <w:pPr>
        <w:spacing w:after="0"/>
      </w:pPr>
    </w:p>
    <w:p w:rsidR="00D141C2" w:rsidRDefault="00771681">
      <w:r>
        <w:t>Nefinancijska imovina iznosi 13.784.705,68 EUR i povećana je za 627.547,62 EUR (4,8%).</w:t>
      </w:r>
    </w:p>
    <w:p w:rsidR="00D141C2" w:rsidRDefault="00771681">
      <w:r>
        <w:t>Najznačajniji dio odnosi se na:</w:t>
      </w:r>
    </w:p>
    <w:p w:rsidR="00D141C2" w:rsidRDefault="00771681">
      <w:r>
        <w:t>Građevinske objekte – ceste i ostale prometne objekte, koji čine najveći udio imovine. Knjigovodstvena vrijednost povećana je uslijed dodatnih ulaganja tijekom 2025. godine.</w:t>
      </w:r>
      <w:r>
        <w:br/>
      </w:r>
      <w:r>
        <w:t>Povećanje vrijednosti građevinskih objekata rezultat je ulaganja u rekonstrukciju i održavanje županijskih i lokalnih cesta (ŽC 4223 OTOK -BOŠNJACI; LC 46017 PRKOVCI-</w:t>
      </w:r>
      <w:proofErr w:type="spellStart"/>
      <w:r>
        <w:t>B.GREDA</w:t>
      </w:r>
      <w:proofErr w:type="spellEnd"/>
      <w:r>
        <w:t>; LC 46019 RETKOVCI-IVANKOVO-ANDRIJAŠEVCI).</w:t>
      </w:r>
      <w:r>
        <w:br/>
        <w:t>Ispravak vrijednosti povećan je sukladn</w:t>
      </w:r>
      <w:r>
        <w:t>o obračunu amortizacije.</w:t>
      </w:r>
      <w:r>
        <w:br/>
        <w:t>Nematerijalna proizvedena imovina bilježi smanjenje zbog obračuna amortizacije.</w:t>
      </w:r>
    </w:p>
    <w:p w:rsidR="00D141C2" w:rsidRDefault="00D141C2"/>
    <w:p w:rsidR="00D141C2" w:rsidRDefault="0077168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1</w:t>
            </w:r>
          </w:p>
        </w:tc>
        <w:tc>
          <w:tcPr>
            <w:tcW w:w="3180" w:type="dxa"/>
            <w:tcMar>
              <w:top w:w="0" w:type="dxa"/>
              <w:bottom w:w="0" w:type="dxa"/>
            </w:tcMar>
            <w:vAlign w:val="center"/>
          </w:tcPr>
          <w:p w:rsidR="00D141C2" w:rsidRDefault="00771681">
            <w:pPr>
              <w:keepNext/>
              <w:keepLines/>
              <w:spacing w:after="0" w:line="240" w:lineRule="auto"/>
            </w:pPr>
            <w:r>
              <w:rPr>
                <w:sz w:val="18"/>
              </w:rPr>
              <w:t xml:space="preserve">Financijska imovina (šifre </w:t>
            </w:r>
            <w:r>
              <w:rPr>
                <w:sz w:val="18"/>
              </w:rPr>
              <w:t>11+12+13+14+15+16+17+19)</w:t>
            </w:r>
          </w:p>
        </w:tc>
        <w:tc>
          <w:tcPr>
            <w:tcW w:w="700" w:type="dxa"/>
            <w:tcMar>
              <w:top w:w="0" w:type="dxa"/>
              <w:bottom w:w="0" w:type="dxa"/>
            </w:tcMar>
            <w:vAlign w:val="center"/>
          </w:tcPr>
          <w:p w:rsidR="00D141C2" w:rsidRDefault="00771681">
            <w:pPr>
              <w:keepNext/>
              <w:keepLines/>
              <w:spacing w:after="0" w:line="240" w:lineRule="auto"/>
            </w:pPr>
            <w:r>
              <w:rPr>
                <w:sz w:val="18"/>
              </w:rPr>
              <w:t>1</w:t>
            </w:r>
          </w:p>
        </w:tc>
        <w:tc>
          <w:tcPr>
            <w:tcW w:w="1860" w:type="dxa"/>
            <w:tcMar>
              <w:top w:w="0" w:type="dxa"/>
              <w:bottom w:w="0" w:type="dxa"/>
            </w:tcMar>
            <w:vAlign w:val="center"/>
          </w:tcPr>
          <w:p w:rsidR="00D141C2" w:rsidRDefault="00771681">
            <w:pPr>
              <w:keepNext/>
              <w:keepLines/>
              <w:spacing w:after="0" w:line="240" w:lineRule="auto"/>
              <w:jc w:val="right"/>
            </w:pPr>
            <w:r>
              <w:rPr>
                <w:sz w:val="18"/>
              </w:rPr>
              <w:t>3.421.303,70</w:t>
            </w:r>
          </w:p>
        </w:tc>
        <w:tc>
          <w:tcPr>
            <w:tcW w:w="1860" w:type="dxa"/>
            <w:tcMar>
              <w:top w:w="0" w:type="dxa"/>
              <w:bottom w:w="0" w:type="dxa"/>
            </w:tcMar>
            <w:vAlign w:val="center"/>
          </w:tcPr>
          <w:p w:rsidR="00D141C2" w:rsidRDefault="00771681">
            <w:pPr>
              <w:keepNext/>
              <w:keepLines/>
              <w:spacing w:after="0" w:line="240" w:lineRule="auto"/>
              <w:jc w:val="right"/>
            </w:pPr>
            <w:r>
              <w:rPr>
                <w:sz w:val="18"/>
              </w:rPr>
              <w:t>3.301.331,79</w:t>
            </w:r>
          </w:p>
        </w:tc>
        <w:tc>
          <w:tcPr>
            <w:tcW w:w="700" w:type="dxa"/>
            <w:tcMar>
              <w:top w:w="0" w:type="dxa"/>
              <w:bottom w:w="0" w:type="dxa"/>
            </w:tcMar>
            <w:vAlign w:val="center"/>
          </w:tcPr>
          <w:p w:rsidR="00D141C2" w:rsidRDefault="00771681">
            <w:pPr>
              <w:keepNext/>
              <w:keepLines/>
              <w:spacing w:after="0" w:line="240" w:lineRule="auto"/>
              <w:jc w:val="right"/>
            </w:pPr>
            <w:r>
              <w:rPr>
                <w:sz w:val="18"/>
              </w:rPr>
              <w:t>96,5</w:t>
            </w:r>
          </w:p>
        </w:tc>
      </w:tr>
    </w:tbl>
    <w:p w:rsidR="00D141C2" w:rsidRDefault="00D141C2">
      <w:pPr>
        <w:spacing w:after="0"/>
      </w:pPr>
    </w:p>
    <w:p w:rsidR="00D141C2" w:rsidRDefault="00771681">
      <w:r>
        <w:t>Financijska imovina iznosi 3.301.331,79 EUR i manja je za 119.971,91 EUR (3,5%) u odnosu na početak godine.</w:t>
      </w:r>
    </w:p>
    <w:p w:rsidR="00D141C2" w:rsidRDefault="00771681">
      <w:r>
        <w:t>Najznačajnije promjene:</w:t>
      </w:r>
    </w:p>
    <w:p w:rsidR="00D141C2" w:rsidRDefault="00771681">
      <w:r>
        <w:t>Smanjenje novca u banci i blagajni s 2.565.575,24 EUR na 766.756,82 EUR rezultat je povećane realizacije investicijskih i tekućih rashoda tijekom godine.</w:t>
      </w:r>
    </w:p>
    <w:p w:rsidR="00D141C2" w:rsidRDefault="00771681">
      <w:r>
        <w:t>Istodobno, potraživanja za prihode poslovanja značajno su porasla (s 815.361,83 EUR na 2.531.920,51 EU</w:t>
      </w:r>
      <w:r>
        <w:t>R), najvećim dijelom zbog povećanja potraživanja za pomoći iz drugih proračuna. Navedeno povećanje odnosi se na potraživanja temeljem ugovora o sufinanciranju sklopljenog s društvom HC d.o.o.</w:t>
      </w:r>
    </w:p>
    <w:p w:rsidR="00D141C2" w:rsidRDefault="00771681">
      <w:r>
        <w:t>Budući da ugovorena sredstva nisu u cijelosti uplaćena u predviđ</w:t>
      </w:r>
      <w:r>
        <w:t>enim rokovima, na dan izvještavanja evidentiran je povećani iznos potraživanja, što je ujedno utjecalo i na smanjenje stanja novčanih sredstava na računu.</w:t>
      </w:r>
    </w:p>
    <w:p w:rsidR="00D141C2" w:rsidRDefault="00771681">
      <w:r>
        <w:t>Rashodi budućih razdoblja svedeni su na 0,00 EUR.</w:t>
      </w:r>
    </w:p>
    <w:p w:rsidR="00D141C2" w:rsidRDefault="00D141C2"/>
    <w:p w:rsidR="00D141C2" w:rsidRDefault="00771681">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2</w:t>
            </w:r>
          </w:p>
        </w:tc>
        <w:tc>
          <w:tcPr>
            <w:tcW w:w="3180" w:type="dxa"/>
            <w:tcMar>
              <w:top w:w="0" w:type="dxa"/>
              <w:bottom w:w="0" w:type="dxa"/>
            </w:tcMar>
            <w:vAlign w:val="center"/>
          </w:tcPr>
          <w:p w:rsidR="00D141C2" w:rsidRDefault="00771681">
            <w:pPr>
              <w:keepNext/>
              <w:keepLines/>
              <w:spacing w:after="0" w:line="240" w:lineRule="auto"/>
            </w:pPr>
            <w:r>
              <w:rPr>
                <w:sz w:val="18"/>
              </w:rPr>
              <w:t>Obveze (šifre 23+24+25+26+27+29)</w:t>
            </w:r>
          </w:p>
        </w:tc>
        <w:tc>
          <w:tcPr>
            <w:tcW w:w="700" w:type="dxa"/>
            <w:tcMar>
              <w:top w:w="0" w:type="dxa"/>
              <w:bottom w:w="0" w:type="dxa"/>
            </w:tcMar>
            <w:vAlign w:val="center"/>
          </w:tcPr>
          <w:p w:rsidR="00D141C2" w:rsidRDefault="00771681">
            <w:pPr>
              <w:keepNext/>
              <w:keepLines/>
              <w:spacing w:after="0" w:line="240" w:lineRule="auto"/>
            </w:pPr>
            <w:r>
              <w:rPr>
                <w:sz w:val="18"/>
              </w:rPr>
              <w:t>2</w:t>
            </w:r>
          </w:p>
        </w:tc>
        <w:tc>
          <w:tcPr>
            <w:tcW w:w="1860" w:type="dxa"/>
            <w:tcMar>
              <w:top w:w="0" w:type="dxa"/>
              <w:bottom w:w="0" w:type="dxa"/>
            </w:tcMar>
            <w:vAlign w:val="center"/>
          </w:tcPr>
          <w:p w:rsidR="00D141C2" w:rsidRDefault="00771681">
            <w:pPr>
              <w:keepNext/>
              <w:keepLines/>
              <w:spacing w:after="0" w:line="240" w:lineRule="auto"/>
              <w:jc w:val="right"/>
            </w:pPr>
            <w:r>
              <w:rPr>
                <w:sz w:val="18"/>
              </w:rPr>
              <w:t>2.565.614,19</w:t>
            </w:r>
          </w:p>
        </w:tc>
        <w:tc>
          <w:tcPr>
            <w:tcW w:w="1860" w:type="dxa"/>
            <w:tcMar>
              <w:top w:w="0" w:type="dxa"/>
              <w:bottom w:w="0" w:type="dxa"/>
            </w:tcMar>
            <w:vAlign w:val="center"/>
          </w:tcPr>
          <w:p w:rsidR="00D141C2" w:rsidRDefault="00771681">
            <w:pPr>
              <w:keepNext/>
              <w:keepLines/>
              <w:spacing w:after="0" w:line="240" w:lineRule="auto"/>
              <w:jc w:val="right"/>
            </w:pPr>
            <w:r>
              <w:rPr>
                <w:sz w:val="18"/>
              </w:rPr>
              <w:t>2.905.547,65</w:t>
            </w:r>
          </w:p>
        </w:tc>
        <w:tc>
          <w:tcPr>
            <w:tcW w:w="700" w:type="dxa"/>
            <w:tcMar>
              <w:top w:w="0" w:type="dxa"/>
              <w:bottom w:w="0" w:type="dxa"/>
            </w:tcMar>
            <w:vAlign w:val="center"/>
          </w:tcPr>
          <w:p w:rsidR="00D141C2" w:rsidRDefault="00771681">
            <w:pPr>
              <w:keepNext/>
              <w:keepLines/>
              <w:spacing w:after="0" w:line="240" w:lineRule="auto"/>
              <w:jc w:val="right"/>
            </w:pPr>
            <w:r>
              <w:rPr>
                <w:sz w:val="18"/>
              </w:rPr>
              <w:t>113,2</w:t>
            </w:r>
          </w:p>
        </w:tc>
      </w:tr>
    </w:tbl>
    <w:p w:rsidR="00D141C2" w:rsidRDefault="00D141C2">
      <w:pPr>
        <w:spacing w:after="0"/>
      </w:pPr>
    </w:p>
    <w:p w:rsidR="00D141C2" w:rsidRDefault="00771681">
      <w:r>
        <w:t>Ukupne obveze na dan 31.12.2025. iznose 2.905.547,65 EUR, što je povećanje od 339.933,46 EUR (13,2%) u odnosu na početno stanje.</w:t>
      </w:r>
    </w:p>
    <w:p w:rsidR="00D141C2" w:rsidRDefault="00771681">
      <w:r>
        <w:t>2.1. Obveze za rashode poslovanja</w:t>
      </w:r>
      <w:r>
        <w:br/>
        <w:t>Obveze za rashode poslovanja iznose 1.099.274,96 EUR i povećane su u odnosu na početak godine, najvećim dijelom zbog povećanja obveza za materijalne rashode . Povećanje se odnosi na ispostavljene građevinske situacije za s</w:t>
      </w:r>
      <w:r>
        <w:t xml:space="preserve">anaciju izvedene u prosincu na lokalnim i županijskim cestama i to na dionicama </w:t>
      </w:r>
      <w:proofErr w:type="spellStart"/>
      <w:r>
        <w:t>Opatovac</w:t>
      </w:r>
      <w:proofErr w:type="spellEnd"/>
      <w:r>
        <w:t>–</w:t>
      </w:r>
      <w:proofErr w:type="spellStart"/>
      <w:r>
        <w:t>Lovas</w:t>
      </w:r>
      <w:proofErr w:type="spellEnd"/>
      <w:r>
        <w:t xml:space="preserve">, most </w:t>
      </w:r>
      <w:proofErr w:type="spellStart"/>
      <w:r>
        <w:t>Cerna</w:t>
      </w:r>
      <w:proofErr w:type="spellEnd"/>
      <w:r>
        <w:t xml:space="preserve"> te most </w:t>
      </w:r>
      <w:proofErr w:type="spellStart"/>
      <w:r>
        <w:t>Tordinci</w:t>
      </w:r>
      <w:proofErr w:type="spellEnd"/>
      <w:r>
        <w:t>. Tijekom tekuće godine izveden je veći opseg sanacija u odnosu na prethodnu godinu, slijedom čega su evidentirane veće obveze. Obvez</w:t>
      </w:r>
      <w:r>
        <w:t>e su podmirene u ugovorenim rokovima dospijeća.</w:t>
      </w:r>
    </w:p>
    <w:p w:rsidR="00D141C2" w:rsidRDefault="00771681">
      <w:r>
        <w:t>Na dan 31.12.2025. godine nema dospjelih obveza – sve evidentirane obveze su nedospjele.</w:t>
      </w:r>
    </w:p>
    <w:p w:rsidR="00D141C2" w:rsidRDefault="00771681">
      <w:r>
        <w:t>2.2. Obveze za nabavu nefinancijske imovine</w:t>
      </w:r>
      <w:r>
        <w:br/>
        <w:t>Iznose 339.419,52 EUR te su manje u odnosu na prethodnu godinu. Tijekom tek</w:t>
      </w:r>
      <w:r>
        <w:t>uće godine realiziran je veći opseg investicija, međutim iste su dovršene i podmirene ranije tijekom godine. Na kraju izvještajnog razdoblja za plaćanje je ostao veći dio radova sanacije (rashodi poslovanja), dok su obveze po osnovi investicija u nefinanci</w:t>
      </w:r>
      <w:r>
        <w:t>jsku imovinu bile u manjem iznosu, što je rezultiralo smanjenjem iskazanih obveza za nabavu nefinancijske imovine.</w:t>
      </w:r>
    </w:p>
    <w:p w:rsidR="00D141C2" w:rsidRDefault="00D141C2"/>
    <w:p w:rsidR="00D141C2" w:rsidRDefault="0077168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9</w:t>
            </w:r>
          </w:p>
        </w:tc>
        <w:tc>
          <w:tcPr>
            <w:tcW w:w="3180" w:type="dxa"/>
            <w:tcMar>
              <w:top w:w="0" w:type="dxa"/>
              <w:bottom w:w="0" w:type="dxa"/>
            </w:tcMar>
            <w:vAlign w:val="center"/>
          </w:tcPr>
          <w:p w:rsidR="00D141C2" w:rsidRDefault="00771681">
            <w:pPr>
              <w:keepNext/>
              <w:keepLines/>
              <w:spacing w:after="0" w:line="240" w:lineRule="auto"/>
            </w:pPr>
            <w:r>
              <w:rPr>
                <w:sz w:val="18"/>
              </w:rPr>
              <w:t>Vlastiti izvori (šifre 91 + 922 - 93</w:t>
            </w:r>
            <w:r>
              <w:rPr>
                <w:sz w:val="18"/>
              </w:rPr>
              <w:t xml:space="preserve"> + 96 + 97)</w:t>
            </w:r>
          </w:p>
        </w:tc>
        <w:tc>
          <w:tcPr>
            <w:tcW w:w="700" w:type="dxa"/>
            <w:tcMar>
              <w:top w:w="0" w:type="dxa"/>
              <w:bottom w:w="0" w:type="dxa"/>
            </w:tcMar>
            <w:vAlign w:val="center"/>
          </w:tcPr>
          <w:p w:rsidR="00D141C2" w:rsidRDefault="00771681">
            <w:pPr>
              <w:keepNext/>
              <w:keepLines/>
              <w:spacing w:after="0" w:line="240" w:lineRule="auto"/>
            </w:pPr>
            <w:r>
              <w:rPr>
                <w:sz w:val="18"/>
              </w:rPr>
              <w:t>9</w:t>
            </w:r>
          </w:p>
        </w:tc>
        <w:tc>
          <w:tcPr>
            <w:tcW w:w="1860" w:type="dxa"/>
            <w:tcMar>
              <w:top w:w="0" w:type="dxa"/>
              <w:bottom w:w="0" w:type="dxa"/>
            </w:tcMar>
            <w:vAlign w:val="center"/>
          </w:tcPr>
          <w:p w:rsidR="00D141C2" w:rsidRDefault="00771681">
            <w:pPr>
              <w:keepNext/>
              <w:keepLines/>
              <w:spacing w:after="0" w:line="240" w:lineRule="auto"/>
              <w:jc w:val="right"/>
            </w:pPr>
            <w:r>
              <w:rPr>
                <w:sz w:val="18"/>
              </w:rPr>
              <w:t>14.012.847,57</w:t>
            </w:r>
          </w:p>
        </w:tc>
        <w:tc>
          <w:tcPr>
            <w:tcW w:w="1860" w:type="dxa"/>
            <w:tcMar>
              <w:top w:w="0" w:type="dxa"/>
              <w:bottom w:w="0" w:type="dxa"/>
            </w:tcMar>
            <w:vAlign w:val="center"/>
          </w:tcPr>
          <w:p w:rsidR="00D141C2" w:rsidRDefault="00771681">
            <w:pPr>
              <w:keepNext/>
              <w:keepLines/>
              <w:spacing w:after="0" w:line="240" w:lineRule="auto"/>
              <w:jc w:val="right"/>
            </w:pPr>
            <w:r>
              <w:rPr>
                <w:sz w:val="18"/>
              </w:rPr>
              <w:t>14.180.489,82</w:t>
            </w:r>
          </w:p>
        </w:tc>
        <w:tc>
          <w:tcPr>
            <w:tcW w:w="700" w:type="dxa"/>
            <w:tcMar>
              <w:top w:w="0" w:type="dxa"/>
              <w:bottom w:w="0" w:type="dxa"/>
            </w:tcMar>
            <w:vAlign w:val="center"/>
          </w:tcPr>
          <w:p w:rsidR="00D141C2" w:rsidRDefault="00771681">
            <w:pPr>
              <w:keepNext/>
              <w:keepLines/>
              <w:spacing w:after="0" w:line="240" w:lineRule="auto"/>
              <w:jc w:val="right"/>
            </w:pPr>
            <w:r>
              <w:rPr>
                <w:sz w:val="18"/>
              </w:rPr>
              <w:t>101,2</w:t>
            </w:r>
          </w:p>
        </w:tc>
      </w:tr>
    </w:tbl>
    <w:p w:rsidR="00D141C2" w:rsidRDefault="00D141C2">
      <w:pPr>
        <w:spacing w:after="0"/>
      </w:pPr>
    </w:p>
    <w:p w:rsidR="00D141C2" w:rsidRDefault="00771681">
      <w:r>
        <w:t>Vlastiti izvori iznose 14.180.489,82 EUR i povećani su za 1,2%.</w:t>
      </w:r>
    </w:p>
    <w:p w:rsidR="00D141C2" w:rsidRDefault="00771681">
      <w:r>
        <w:t>Na dan 31. 12. 2025. iskazan je:</w:t>
      </w:r>
    </w:p>
    <w:p w:rsidR="00D141C2" w:rsidRDefault="00771681">
      <w:r>
        <w:t>višak prihoda poslovanja u iznosu 387.736,98 EUR</w:t>
      </w:r>
      <w:r>
        <w:br/>
      </w:r>
      <w:r>
        <w:t>manjak prihoda od nefinancijske imovine u iznosu 803.975,56 EUR</w:t>
      </w:r>
      <w:r>
        <w:br/>
        <w:t>manjak primitaka od financijske imovine u iznosu 264.969,08 EUR</w:t>
      </w:r>
      <w:r>
        <w:br/>
        <w:t>Ukupno je iskazan negativan rezultat (manjak) u iznosu 681.207,66 EUR, koji će se pokriti sukladno propisima u narednom razdoblj</w:t>
      </w:r>
      <w:r>
        <w:t>u.</w:t>
      </w:r>
    </w:p>
    <w:p w:rsidR="00D141C2" w:rsidRDefault="00771681">
      <w:r>
        <w:lastRenderedPageBreak/>
        <w:t>Navedeni rezultat posljedica je primjene načela nastanka događaja i novčanog načela evidentiranja prihoda. Rashodi su evidentirani u trenutku njihova nastanka, dok su prihodi priznati u trenutku uplate. Iako su ugovori o sufinanciranju sklopljeni u 2025</w:t>
      </w:r>
      <w:r>
        <w:t>. godini, dio sredstava uplaćen je tek u 2026. godini, što je utjecalo na iskazani manjak na dan 31. 12. 2025. godine.</w:t>
      </w:r>
    </w:p>
    <w:p w:rsidR="00D141C2" w:rsidRDefault="00771681">
      <w:r>
        <w:t>OBVEZNE KOREKCIJE</w:t>
      </w:r>
    </w:p>
    <w:p w:rsidR="00D141C2" w:rsidRDefault="00771681">
      <w:r>
        <w:t xml:space="preserve">Ukupni prihod od kapitalnih prijenosa u 2025. godini iznosi 3.385.097,76 </w:t>
      </w:r>
      <w:proofErr w:type="spellStart"/>
      <w:r>
        <w:t>eur</w:t>
      </w:r>
      <w:proofErr w:type="spellEnd"/>
      <w:r>
        <w:t xml:space="preserve">.  Od tog iznosa, 2.058.335,22 </w:t>
      </w:r>
      <w:proofErr w:type="spellStart"/>
      <w:r>
        <w:t>eur</w:t>
      </w:r>
      <w:proofErr w:type="spellEnd"/>
      <w:r>
        <w:t xml:space="preserve"> iskorišt</w:t>
      </w:r>
      <w:r>
        <w:t xml:space="preserve">eno je za nabavu dugotrajne nefinancijske imovine za što se provela obvezna korekcija rezultata kojom se pokrio manjak od nefinancijske imovine po izvorima financiranja. Preostali dio prihoda od kapitalnih prijenosa  evidentiranih u 2025. godini odnosi se </w:t>
      </w:r>
      <w:r>
        <w:t xml:space="preserve">na 2024. godinu, stoga nije ispunjen </w:t>
      </w:r>
      <w:proofErr w:type="spellStart"/>
      <w:r>
        <w:t>uvijet</w:t>
      </w:r>
      <w:proofErr w:type="spellEnd"/>
      <w:r>
        <w:t xml:space="preserve"> da su prihodi i rashodi iskazani u 2025.g.</w:t>
      </w:r>
    </w:p>
    <w:p w:rsidR="00D141C2" w:rsidRDefault="00771681">
      <w:r>
        <w:t> </w:t>
      </w:r>
    </w:p>
    <w:p w:rsidR="00D141C2" w:rsidRDefault="00D141C2"/>
    <w:p w:rsidR="00D141C2" w:rsidRDefault="00771681">
      <w:pPr>
        <w:keepNext/>
        <w:spacing w:line="240" w:lineRule="auto"/>
        <w:jc w:val="center"/>
      </w:pPr>
      <w:r>
        <w:rPr>
          <w:b/>
          <w:sz w:val="28"/>
        </w:rPr>
        <w:t>Promjene u vrijednosti i obujmu imovine i obveza</w:t>
      </w:r>
    </w:p>
    <w:p w:rsidR="00D141C2" w:rsidRDefault="0077168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771681">
            <w:pPr>
              <w:keepNext/>
              <w:keepLines/>
              <w:spacing w:after="0" w:line="240" w:lineRule="auto"/>
            </w:pPr>
            <w:r>
              <w:rPr>
                <w:sz w:val="18"/>
              </w:rPr>
              <w:t>9151</w:t>
            </w:r>
          </w:p>
        </w:tc>
        <w:tc>
          <w:tcPr>
            <w:tcW w:w="3180" w:type="dxa"/>
            <w:tcMar>
              <w:top w:w="0" w:type="dxa"/>
              <w:bottom w:w="0" w:type="dxa"/>
            </w:tcMar>
            <w:vAlign w:val="center"/>
          </w:tcPr>
          <w:p w:rsidR="00D141C2" w:rsidRDefault="00771681">
            <w:pPr>
              <w:keepNext/>
              <w:keepLines/>
              <w:spacing w:after="0" w:line="240" w:lineRule="auto"/>
            </w:pPr>
            <w:r>
              <w:rPr>
                <w:sz w:val="18"/>
              </w:rPr>
              <w:t xml:space="preserve">Promjene u </w:t>
            </w:r>
            <w:r>
              <w:rPr>
                <w:sz w:val="18"/>
              </w:rPr>
              <w:t>vrijednosti i obujmu imovine (šifre 91511+91512)</w:t>
            </w:r>
          </w:p>
        </w:tc>
        <w:tc>
          <w:tcPr>
            <w:tcW w:w="700" w:type="dxa"/>
            <w:tcMar>
              <w:top w:w="0" w:type="dxa"/>
              <w:bottom w:w="0" w:type="dxa"/>
            </w:tcMar>
            <w:vAlign w:val="center"/>
          </w:tcPr>
          <w:p w:rsidR="00D141C2" w:rsidRDefault="00771681">
            <w:pPr>
              <w:keepNext/>
              <w:keepLines/>
              <w:spacing w:after="0" w:line="240" w:lineRule="auto"/>
            </w:pPr>
            <w:r>
              <w:rPr>
                <w:sz w:val="18"/>
              </w:rPr>
              <w:t>9151</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1860" w:type="dxa"/>
            <w:tcMar>
              <w:top w:w="0" w:type="dxa"/>
              <w:bottom w:w="0" w:type="dxa"/>
            </w:tcMar>
            <w:vAlign w:val="center"/>
          </w:tcPr>
          <w:p w:rsidR="00D141C2" w:rsidRDefault="00771681">
            <w:pPr>
              <w:keepNext/>
              <w:keepLines/>
              <w:spacing w:after="0" w:line="240" w:lineRule="auto"/>
              <w:jc w:val="right"/>
            </w:pPr>
            <w:r>
              <w:rPr>
                <w:sz w:val="18"/>
              </w:rPr>
              <w:t>3.474.210,16</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bl>
    <w:p w:rsidR="00D141C2" w:rsidRDefault="00D141C2">
      <w:pPr>
        <w:spacing w:after="0"/>
      </w:pPr>
    </w:p>
    <w:p w:rsidR="00D141C2" w:rsidRDefault="00771681">
      <w:r>
        <w:t>U izvještajnom razdoblju na šifri 9151 – Promjene u vrijednosti i obujmu imovine evidentiran je iznos od 3.474.210,16 EUR, a odnosi se isključivo na promjene u vrijednosti imovine (šifra 91511).</w:t>
      </w:r>
    </w:p>
    <w:p w:rsidR="00D141C2" w:rsidRDefault="00771681">
      <w:r>
        <w:t>Promjene se u cijelosti odnose na proizvedenu dugotrajnu nefi</w:t>
      </w:r>
      <w:r>
        <w:t>nancijsku imovinu (šifra P003), dok promjena u obujmu imovine (šifra 91512) nije bilo. Također, nije bilo promjena u vrijednosti financijske imovine niti promjena u vrijednosti ili obujmu obveza.</w:t>
      </w:r>
    </w:p>
    <w:p w:rsidR="00D141C2" w:rsidRDefault="00771681">
      <w:r>
        <w:t xml:space="preserve">Evidentirani iznos predstavlja obračun ispravka vrijednosti </w:t>
      </w:r>
      <w:r>
        <w:t>(amortizacije) proizvedene dugotrajne imovine tijekom izvještajnog razdoblja. Riječ je o redovnom godišnjem obračunu amortizacije sukladno važećim računovodstvenim propisima, kojim se smanjuje knjigovodstvena vrijednost dugotrajne imovine zbog njezina troš</w:t>
      </w:r>
      <w:r>
        <w:t>enja i tehnološkog zastarijevanja.</w:t>
      </w:r>
    </w:p>
    <w:p w:rsidR="00D141C2" w:rsidRDefault="00771681">
      <w:r>
        <w:t>Budući da se radi o obračunskoj kategoriji, navedena promjena nema utjecaj na novčani tijek, već isključivo na vrijednosno usklađenje imovine u bilanci.</w:t>
      </w:r>
    </w:p>
    <w:p w:rsidR="00D141C2" w:rsidRDefault="00771681">
      <w:r>
        <w:t>Na obvezama (šifra 9152) nisu evidentirane promjene u vrijednosti ni</w:t>
      </w:r>
      <w:r>
        <w:t>ti u obujmu.</w:t>
      </w:r>
    </w:p>
    <w:p w:rsidR="00D141C2" w:rsidRDefault="00D141C2"/>
    <w:p w:rsidR="00D141C2" w:rsidRDefault="00771681">
      <w:pPr>
        <w:keepNext/>
        <w:spacing w:line="240" w:lineRule="auto"/>
        <w:jc w:val="center"/>
      </w:pPr>
      <w:r>
        <w:rPr>
          <w:b/>
          <w:sz w:val="28"/>
        </w:rPr>
        <w:lastRenderedPageBreak/>
        <w:t>Izvještaj o obvezama</w:t>
      </w:r>
    </w:p>
    <w:p w:rsidR="00D141C2" w:rsidRDefault="0077168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D141C2">
        <w:tblPrEx>
          <w:tblCellMar>
            <w:top w:w="0" w:type="dxa"/>
            <w:bottom w:w="0" w:type="dxa"/>
          </w:tblCellMar>
        </w:tblPrEx>
        <w:trPr>
          <w:cantSplit/>
        </w:trPr>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D141C2" w:rsidRDefault="00771681">
            <w:pPr>
              <w:keepNext/>
              <w:keepLines/>
              <w:spacing w:after="0" w:line="240" w:lineRule="auto"/>
              <w:jc w:val="center"/>
            </w:pPr>
            <w:r>
              <w:rPr>
                <w:b/>
                <w:sz w:val="18"/>
              </w:rPr>
              <w:t>Indeks (%)</w:t>
            </w:r>
          </w:p>
        </w:tc>
      </w:tr>
      <w:tr w:rsidR="00D141C2">
        <w:tblPrEx>
          <w:tblCellMar>
            <w:top w:w="0" w:type="dxa"/>
            <w:bottom w:w="0" w:type="dxa"/>
          </w:tblCellMar>
        </w:tblPrEx>
        <w:trPr>
          <w:cantSplit/>
          <w:trHeight w:val="560"/>
        </w:trPr>
        <w:tc>
          <w:tcPr>
            <w:tcW w:w="700" w:type="dxa"/>
            <w:tcMar>
              <w:top w:w="0" w:type="dxa"/>
              <w:bottom w:w="0" w:type="dxa"/>
            </w:tcMar>
            <w:vAlign w:val="center"/>
          </w:tcPr>
          <w:p w:rsidR="00D141C2" w:rsidRDefault="00D141C2">
            <w:pPr>
              <w:keepNext/>
              <w:keepLines/>
              <w:spacing w:after="0" w:line="240" w:lineRule="auto"/>
            </w:pPr>
          </w:p>
        </w:tc>
        <w:tc>
          <w:tcPr>
            <w:tcW w:w="3180" w:type="dxa"/>
            <w:tcMar>
              <w:top w:w="0" w:type="dxa"/>
              <w:bottom w:w="0" w:type="dxa"/>
            </w:tcMar>
            <w:vAlign w:val="center"/>
          </w:tcPr>
          <w:p w:rsidR="00D141C2" w:rsidRDefault="0077168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D141C2" w:rsidRDefault="00771681">
            <w:pPr>
              <w:keepNext/>
              <w:keepLines/>
              <w:spacing w:after="0" w:line="240" w:lineRule="auto"/>
            </w:pPr>
            <w:r>
              <w:rPr>
                <w:sz w:val="18"/>
              </w:rPr>
              <w:t>V007</w:t>
            </w:r>
          </w:p>
        </w:tc>
        <w:tc>
          <w:tcPr>
            <w:tcW w:w="1860" w:type="dxa"/>
            <w:tcMar>
              <w:top w:w="0" w:type="dxa"/>
              <w:bottom w:w="0" w:type="dxa"/>
            </w:tcMar>
            <w:vAlign w:val="center"/>
          </w:tcPr>
          <w:p w:rsidR="00D141C2" w:rsidRDefault="00771681">
            <w:pPr>
              <w:keepNext/>
              <w:keepLines/>
              <w:spacing w:after="0" w:line="240" w:lineRule="auto"/>
              <w:jc w:val="right"/>
            </w:pPr>
            <w:r>
              <w:rPr>
                <w:sz w:val="18"/>
              </w:rPr>
              <w:t>0,00</w:t>
            </w:r>
          </w:p>
        </w:tc>
        <w:tc>
          <w:tcPr>
            <w:tcW w:w="700" w:type="dxa"/>
            <w:tcMar>
              <w:top w:w="0" w:type="dxa"/>
              <w:bottom w:w="0" w:type="dxa"/>
            </w:tcMar>
            <w:vAlign w:val="center"/>
          </w:tcPr>
          <w:p w:rsidR="00D141C2" w:rsidRDefault="00771681">
            <w:pPr>
              <w:keepNext/>
              <w:keepLines/>
              <w:spacing w:after="0" w:line="240" w:lineRule="auto"/>
              <w:jc w:val="right"/>
            </w:pPr>
            <w:r>
              <w:rPr>
                <w:sz w:val="18"/>
              </w:rPr>
              <w:t>-</w:t>
            </w:r>
          </w:p>
        </w:tc>
      </w:tr>
    </w:tbl>
    <w:p w:rsidR="00D141C2" w:rsidRDefault="00D141C2">
      <w:pPr>
        <w:spacing w:after="0"/>
      </w:pPr>
    </w:p>
    <w:p w:rsidR="00D141C2" w:rsidRDefault="00771681">
      <w:r>
        <w:t>Na dan 31. prosinca 2025. godine stanje dospjelih obveza iznosi 0,00 EUR. Proračunski korisnik nema nepodmirenih obveza kojima je istekao rok dospijeća.</w:t>
      </w:r>
    </w:p>
    <w:p w:rsidR="00D141C2" w:rsidRDefault="00771681">
      <w:r>
        <w:t>Sve iskazane obveze odnose se na nedospjele obveze s rokom plaćanja u 2026. godini, sukladno ugovorenim</w:t>
      </w:r>
      <w:r>
        <w:t xml:space="preserve"> rokovima i važećim propisima.</w:t>
      </w:r>
    </w:p>
    <w:p w:rsidR="00D141C2" w:rsidRDefault="00D141C2"/>
    <w:sectPr w:rsidR="00D14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D141C2"/>
    <w:rsid w:val="00771681"/>
    <w:rsid w:val="00D14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716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3040</Words>
  <Characters>17328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Darija Božić</cp:lastModifiedBy>
  <cp:revision>2</cp:revision>
  <dcterms:created xsi:type="dcterms:W3CDTF">2026-02-20T10:33:00Z</dcterms:created>
  <dcterms:modified xsi:type="dcterms:W3CDTF">2026-02-20T10:46:00Z</dcterms:modified>
</cp:coreProperties>
</file>